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2019</w:t>
      </w:r>
      <w:r>
        <w:rPr>
          <w:rFonts w:hint="eastAsia" w:ascii="仿宋_GB2312" w:eastAsia="仿宋_GB2312"/>
          <w:sz w:val="32"/>
        </w:rPr>
        <w:t xml:space="preserve">年  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 xml:space="preserve"> 月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>19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tbl>
      <w:tblPr>
        <w:tblStyle w:val="7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18019196176/021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-20876176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z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hanglin2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@comac.cc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2020年新加坡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航展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商飞展台搭建项目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具备完成本项目所需的经营范围及资质；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注册资金不少于人民币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0万。 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  无重大涉诉情况，未被列为失信执行人。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具备国外航展(仅限新加坡航展、巴黎航展、范堡罗航展、莫斯科航展四大航展)展台搭建经验；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具有专人负责制作施工图；配备负责该项目的项目经理，且相关项目经理应具备5年以上从业经验。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展台位于新加坡C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hangi Exhibition Centre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，展位号为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L23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,面积为342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平方米；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按照展台设计要求（见附件），供应商应在规定时间内完成展台搭建；在展会结束后，按照主办方及采购方的要求，准时完成撤展及现场清理；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供应商应提供详细的项目施工进度表；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在响应文件中应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包含详细报价清单，并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注明所选用的具体材质；</w:t>
            </w:r>
          </w:p>
          <w:p>
            <w:pPr>
              <w:tabs>
                <w:tab w:val="left" w:pos="31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该工程款总额为闭口包干价，该价款已包括但不限于设计费、制作费、材料费、展场施工管理费、电费、水费、运输费、装卸费、安装调试费、维护维修费、撤展费、人工费、交通费、保险费、税费等乙方完成本合同约定工作所需的一切费用，除此之外，甲方无须再向乙方支付其它任何费用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.项目全部完成并验收合格后，在收到供应商出具合同总金额的增值税专用发票并确认有效性后的30个工作日内支付合同要求的相关款项。该金额为固定总价，供应商完成本项目所发生的所有费用均包含在固定总价内，并不再另行支付其他费用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月1日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日进场搭建，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日为开展时间，2月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日前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完成撤展及现场清理。一切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依照主办方要求进行，若出现变动，以主办方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通知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为准。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8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</w:p>
    <w:tbl>
      <w:tblPr>
        <w:tblStyle w:val="7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■质量体系认证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■以往类似项目的合同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8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8"/>
        <w:ind w:firstLineChars="0"/>
        <w:jc w:val="left"/>
      </w:pPr>
    </w:p>
    <w:tbl>
      <w:tblPr>
        <w:tblStyle w:val="7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C57952"/>
    <w:multiLevelType w:val="singleLevel"/>
    <w:tmpl w:val="90C579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DC7947"/>
    <w:rsid w:val="000808BB"/>
    <w:rsid w:val="001B5D73"/>
    <w:rsid w:val="002024A9"/>
    <w:rsid w:val="00237589"/>
    <w:rsid w:val="00294CCC"/>
    <w:rsid w:val="002A4998"/>
    <w:rsid w:val="002B649F"/>
    <w:rsid w:val="002B7012"/>
    <w:rsid w:val="00457E06"/>
    <w:rsid w:val="005F4558"/>
    <w:rsid w:val="007862F7"/>
    <w:rsid w:val="007F71E3"/>
    <w:rsid w:val="00B40E96"/>
    <w:rsid w:val="00CF4534"/>
    <w:rsid w:val="00D72102"/>
    <w:rsid w:val="00DF470F"/>
    <w:rsid w:val="00FF78A0"/>
    <w:rsid w:val="1039255C"/>
    <w:rsid w:val="17DC7947"/>
    <w:rsid w:val="560B1598"/>
    <w:rsid w:val="68CB34EC"/>
    <w:rsid w:val="6A4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9">
    <w:name w:val="批注框文本 字符"/>
    <w:basedOn w:val="6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239</Words>
  <Characters>1365</Characters>
  <Lines>11</Lines>
  <Paragraphs>3</Paragraphs>
  <TotalTime>1477</TotalTime>
  <ScaleCrop>false</ScaleCrop>
  <LinksUpToDate>false</LinksUpToDate>
  <CharactersWithSpaces>1601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2019-12-10T09:02:00Z</dcterms:created>
  <dc:creator>411556</dc:creator>
  <cp:lastModifiedBy>comac</cp:lastModifiedBy>
  <cp:lastPrinted>2019-12-18T09:22:00Z</cp:lastPrinted>
  <dcterms:modified xsi:type="dcterms:W3CDTF">2019-12-19T08:54:31Z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