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2020</w:t>
      </w:r>
      <w:r>
        <w:rPr>
          <w:rFonts w:hint="eastAsia" w:ascii="仿宋_GB2312" w:eastAsia="仿宋_GB2312"/>
          <w:sz w:val="32"/>
        </w:rPr>
        <w:t xml:space="preserve"> 年</w:t>
      </w:r>
      <w:r>
        <w:rPr>
          <w:rFonts w:hint="eastAsia" w:ascii="仿宋_GB2312" w:eastAsia="仿宋_GB2312"/>
          <w:sz w:val="32"/>
          <w:lang w:val="en-US" w:eastAsia="zh-CN"/>
        </w:rPr>
        <w:t>10</w:t>
      </w:r>
      <w:r>
        <w:rPr>
          <w:rFonts w:hint="eastAsia" w:ascii="仿宋_GB2312" w:eastAsia="仿宋_GB2312"/>
          <w:sz w:val="32"/>
        </w:rPr>
        <w:t xml:space="preserve"> 月 </w:t>
      </w:r>
      <w:r>
        <w:rPr>
          <w:rFonts w:hint="eastAsia" w:ascii="仿宋_GB2312" w:eastAsia="仿宋_GB2312"/>
          <w:sz w:val="32"/>
          <w:lang w:val="en-US" w:eastAsia="zh-CN"/>
        </w:rPr>
        <w:t>27</w:t>
      </w:r>
      <w:r>
        <w:rPr>
          <w:rFonts w:hint="eastAsia" w:ascii="仿宋_GB2312" w:eastAsia="仿宋_GB2312"/>
          <w:sz w:val="32"/>
        </w:rPr>
        <w:t xml:space="preserve"> 日</w:t>
      </w:r>
    </w:p>
    <w:p>
      <w:pPr>
        <w:adjustRightInd w:val="0"/>
        <w:snapToGrid w:val="0"/>
        <w:spacing w:line="600" w:lineRule="exact"/>
        <w:ind w:firstLine="645"/>
        <w:rPr>
          <w:rFonts w:ascii="仿宋_GB2312" w:eastAsia="仿宋_GB2312"/>
          <w:sz w:val="32"/>
        </w:rPr>
      </w:pPr>
    </w:p>
    <w:p>
      <w:pPr>
        <w:pStyle w:val="7"/>
        <w:ind w:firstLineChars="0"/>
        <w:jc w:val="left"/>
      </w:pPr>
    </w:p>
    <w:p>
      <w:pPr>
        <w:pStyle w:val="7"/>
        <w:ind w:firstLineChars="0"/>
        <w:jc w:val="left"/>
      </w:pPr>
    </w:p>
    <w:p>
      <w:pPr>
        <w:pStyle w:val="7"/>
        <w:ind w:firstLineChars="0"/>
        <w:jc w:val="left"/>
      </w:pPr>
      <w:r>
        <w:br w:type="page"/>
      </w:r>
    </w:p>
    <w:tbl>
      <w:tblPr>
        <w:tblStyle w:val="6"/>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593"/>
        <w:gridCol w:w="1833"/>
        <w:gridCol w:w="716"/>
        <w:gridCol w:w="550"/>
        <w:gridCol w:w="792"/>
        <w:gridCol w:w="1588"/>
        <w:gridCol w:w="1498"/>
      </w:tblGrid>
      <w:tr>
        <w:tblPrEx>
          <w:tblLayout w:type="fixed"/>
          <w:tblCellMar>
            <w:top w:w="0" w:type="dxa"/>
            <w:left w:w="108" w:type="dxa"/>
            <w:bottom w:w="0" w:type="dxa"/>
            <w:right w:w="108" w:type="dxa"/>
          </w:tblCellMar>
        </w:tblPrEx>
        <w:trPr>
          <w:trHeight w:val="840" w:hRule="atLeast"/>
        </w:trPr>
        <w:tc>
          <w:tcPr>
            <w:tcW w:w="2593"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张琳</w:t>
            </w:r>
            <w:r>
              <w:rPr>
                <w:rFonts w:hint="eastAsia" w:ascii="仿宋_GB2312" w:hAnsi="宋体" w:eastAsia="仿宋_GB2312" w:cs="宋体"/>
                <w:color w:val="000000"/>
                <w:kern w:val="0"/>
                <w:sz w:val="24"/>
              </w:rPr>
              <w:t>　</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549"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18019196176</w:t>
            </w:r>
            <w:r>
              <w:rPr>
                <w:rFonts w:hint="eastAsia" w:ascii="仿宋_GB2312" w:hAnsi="宋体" w:eastAsia="仿宋_GB2312" w:cs="宋体"/>
                <w:color w:val="000000"/>
                <w:kern w:val="0"/>
                <w:sz w:val="24"/>
              </w:rPr>
              <w:t>　</w:t>
            </w:r>
          </w:p>
        </w:tc>
        <w:tc>
          <w:tcPr>
            <w:tcW w:w="1342"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086"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zhanglin2@comac.cc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大客研保二期</w:t>
            </w:r>
            <w:r>
              <w:rPr>
                <w:rFonts w:hint="eastAsia" w:ascii="仿宋" w:hAnsi="仿宋" w:eastAsia="仿宋" w:cs="仿宋"/>
                <w:sz w:val="24"/>
              </w:rPr>
              <w:t>室内办公环境空气检测</w:t>
            </w:r>
            <w:r>
              <w:rPr>
                <w:rFonts w:hint="eastAsia" w:ascii="仿宋_GB2312" w:hAnsi="宋体" w:eastAsia="仿宋_GB2312" w:cs="宋体"/>
                <w:color w:val="000000"/>
                <w:kern w:val="0"/>
                <w:sz w:val="24"/>
              </w:rPr>
              <w:t>项目</w:t>
            </w:r>
          </w:p>
        </w:tc>
      </w:tr>
      <w:tr>
        <w:tblPrEx>
          <w:tblLayout w:type="fixed"/>
          <w:tblCellMar>
            <w:top w:w="0" w:type="dxa"/>
            <w:left w:w="108" w:type="dxa"/>
            <w:bottom w:w="0" w:type="dxa"/>
            <w:right w:w="108" w:type="dxa"/>
          </w:tblCellMar>
        </w:tblPrEx>
        <w:trPr>
          <w:trHeight w:val="168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hint="eastAsia" w:ascii="仿宋" w:hAnsi="仿宋" w:eastAsia="仿宋" w:cs="仿宋"/>
                <w:color w:val="000000"/>
                <w:kern w:val="0"/>
                <w:sz w:val="24"/>
                <w:lang w:eastAsia="zh-CN"/>
              </w:rPr>
            </w:pPr>
            <w:r>
              <w:rPr>
                <w:rFonts w:hint="eastAsia" w:ascii="仿宋" w:hAnsi="仿宋" w:eastAsia="仿宋" w:cs="仿宋"/>
                <w:color w:val="000000"/>
                <w:kern w:val="0"/>
                <w:sz w:val="24"/>
              </w:rPr>
              <w:t>1.供应商为有效存续的独立法人</w:t>
            </w:r>
            <w:r>
              <w:rPr>
                <w:rFonts w:hint="eastAsia" w:ascii="仿宋" w:hAnsi="仿宋" w:eastAsia="仿宋" w:cs="仿宋"/>
                <w:color w:val="000000"/>
                <w:kern w:val="0"/>
                <w:sz w:val="24"/>
                <w:lang w:eastAsia="zh-CN"/>
              </w:rPr>
              <w:t>；</w:t>
            </w:r>
          </w:p>
          <w:p>
            <w:pPr>
              <w:autoSpaceDN w:val="0"/>
              <w:spacing w:line="360" w:lineRule="auto"/>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2.</w:t>
            </w:r>
            <w:r>
              <w:rPr>
                <w:rFonts w:hint="eastAsia" w:ascii="仿宋" w:hAnsi="仿宋" w:eastAsia="仿宋" w:cs="仿宋"/>
                <w:color w:val="000000"/>
                <w:kern w:val="0"/>
                <w:sz w:val="24"/>
              </w:rPr>
              <w:t>具有企业法人营业执照并具有完成本项目所需的经营范围及资质；</w:t>
            </w:r>
          </w:p>
          <w:p>
            <w:pPr>
              <w:autoSpaceDN w:val="0"/>
              <w:spacing w:line="360" w:lineRule="auto"/>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3</w:t>
            </w:r>
            <w:r>
              <w:rPr>
                <w:rFonts w:hint="eastAsia" w:ascii="仿宋" w:hAnsi="仿宋" w:eastAsia="仿宋" w:cs="仿宋"/>
                <w:color w:val="000000"/>
                <w:kern w:val="0"/>
                <w:sz w:val="24"/>
              </w:rPr>
              <w:t>.具有与本项目相关的专业行业资质与人员配备，具有相关项目经验，并提供业绩证明；</w:t>
            </w:r>
          </w:p>
          <w:p>
            <w:pPr>
              <w:autoSpaceDN w:val="0"/>
              <w:spacing w:line="360" w:lineRule="auto"/>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lang w:val="en-US" w:eastAsia="zh-CN"/>
              </w:rPr>
              <w:t>4</w:t>
            </w:r>
            <w:r>
              <w:rPr>
                <w:rFonts w:hint="eastAsia" w:ascii="仿宋" w:hAnsi="仿宋" w:eastAsia="仿宋" w:cs="仿宋"/>
                <w:color w:val="000000"/>
                <w:kern w:val="0"/>
                <w:sz w:val="24"/>
              </w:rPr>
              <w:t>.未被列入全国失信被执行人名单，披在签署本项目合同及履行本项目义务时无任何法律障碍和重大事件影响供应商继续正常存续和全面履行本项目合同的能力，包括但不限于重大诉讼案件、重大债权债务纠纷；</w:t>
            </w:r>
          </w:p>
          <w:p>
            <w:pPr>
              <w:autoSpaceDN w:val="0"/>
              <w:spacing w:line="360" w:lineRule="auto"/>
              <w:jc w:val="left"/>
              <w:textAlignment w:val="center"/>
              <w:rPr>
                <w:rFonts w:hint="eastAsia" w:ascii="仿宋" w:hAnsi="仿宋" w:eastAsia="仿宋" w:cs="仿宋"/>
                <w:color w:val="000000"/>
                <w:kern w:val="0"/>
                <w:sz w:val="24"/>
                <w:lang w:eastAsia="zh-CN"/>
              </w:rPr>
            </w:pPr>
            <w:r>
              <w:rPr>
                <w:rFonts w:hint="eastAsia" w:ascii="仿宋" w:hAnsi="仿宋" w:eastAsia="仿宋" w:cs="仿宋"/>
                <w:color w:val="000000"/>
                <w:kern w:val="0"/>
                <w:sz w:val="24"/>
                <w:lang w:val="en-US" w:eastAsia="zh-CN"/>
              </w:rPr>
              <w:t>5</w:t>
            </w:r>
            <w:r>
              <w:rPr>
                <w:rFonts w:hint="eastAsia" w:ascii="仿宋" w:hAnsi="仿宋" w:eastAsia="仿宋" w:cs="仿宋"/>
                <w:color w:val="000000"/>
                <w:kern w:val="0"/>
                <w:sz w:val="24"/>
              </w:rPr>
              <w:t>.供应商注册资金500万以上</w:t>
            </w:r>
            <w:r>
              <w:rPr>
                <w:rFonts w:hint="eastAsia" w:ascii="仿宋" w:hAnsi="仿宋" w:eastAsia="仿宋" w:cs="仿宋"/>
                <w:color w:val="000000"/>
                <w:kern w:val="0"/>
                <w:sz w:val="24"/>
                <w:lang w:eastAsia="zh-CN"/>
              </w:rPr>
              <w:t>；</w:t>
            </w:r>
          </w:p>
          <w:p>
            <w:pPr>
              <w:autoSpaceDN w:val="0"/>
              <w:spacing w:line="360" w:lineRule="auto"/>
              <w:jc w:val="left"/>
              <w:textAlignment w:val="center"/>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val="en-US" w:eastAsia="zh-CN"/>
              </w:rPr>
              <w:t>6.</w:t>
            </w:r>
            <w:r>
              <w:rPr>
                <w:rFonts w:hint="eastAsia" w:ascii="仿宋" w:hAnsi="仿宋" w:eastAsia="仿宋" w:cs="仿宋"/>
                <w:color w:val="000000"/>
                <w:kern w:val="0"/>
                <w:sz w:val="24"/>
                <w:szCs w:val="24"/>
              </w:rPr>
              <w:t>经审计的近三年的年度财务报表</w:t>
            </w:r>
            <w:r>
              <w:rPr>
                <w:rFonts w:hint="eastAsia" w:ascii="仿宋" w:hAnsi="仿宋" w:eastAsia="仿宋" w:cs="仿宋"/>
                <w:color w:val="000000"/>
                <w:kern w:val="0"/>
                <w:sz w:val="24"/>
                <w:szCs w:val="24"/>
                <w:lang w:eastAsia="zh-CN"/>
              </w:rPr>
              <w:t>。</w:t>
            </w:r>
          </w:p>
          <w:p>
            <w:pPr>
              <w:autoSpaceDN w:val="0"/>
              <w:spacing w:line="280" w:lineRule="exact"/>
              <w:jc w:val="center"/>
              <w:textAlignment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1544"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ascii="仿宋_GB2312" w:hAnsi="宋体" w:eastAsia="仿宋_GB2312" w:cs="宋体"/>
                <w:color w:val="000000"/>
                <w:kern w:val="0"/>
                <w:sz w:val="24"/>
              </w:rPr>
            </w:pPr>
            <w:r>
              <w:rPr>
                <w:rFonts w:hint="eastAsia" w:ascii="仿宋" w:hAnsi="仿宋" w:eastAsia="仿宋" w:cs="仿宋"/>
                <w:color w:val="000000"/>
                <w:kern w:val="0"/>
                <w:sz w:val="24"/>
              </w:rPr>
              <w:t>在本项目所涉及领域具有丰富经验并提供相应证明。</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977" w:type="dxa"/>
            <w:gridSpan w:val="6"/>
            <w:tcBorders>
              <w:top w:val="single" w:color="auto" w:sz="4" w:space="0"/>
              <w:left w:val="nil"/>
              <w:bottom w:val="single" w:color="auto" w:sz="4" w:space="0"/>
              <w:right w:val="single" w:color="auto" w:sz="4" w:space="0"/>
            </w:tcBorders>
            <w:vAlign w:val="center"/>
          </w:tcPr>
          <w:p>
            <w:pPr>
              <w:numPr>
                <w:ilvl w:val="0"/>
                <w:numId w:val="1"/>
              </w:numPr>
              <w:autoSpaceDN w:val="0"/>
              <w:jc w:val="left"/>
              <w:textAlignment w:val="center"/>
              <w:rPr>
                <w:rFonts w:hint="eastAsia" w:ascii="仿宋" w:hAnsi="仿宋" w:eastAsia="仿宋" w:cs="仿宋"/>
                <w:sz w:val="24"/>
                <w:szCs w:val="24"/>
              </w:rPr>
            </w:pPr>
            <w:r>
              <w:rPr>
                <w:rFonts w:hint="eastAsia" w:ascii="仿宋" w:hAnsi="仿宋" w:eastAsia="仿宋" w:cs="仿宋"/>
                <w:sz w:val="24"/>
                <w:szCs w:val="24"/>
              </w:rPr>
              <w:t>必须具有国家质监局颁布的中国计量认证合格证书以及上海市建设工程检测机构评估证书；</w:t>
            </w:r>
          </w:p>
          <w:p>
            <w:pPr>
              <w:autoSpaceDN w:val="0"/>
              <w:textAlignment w:val="center"/>
              <w:rPr>
                <w:rFonts w:ascii="仿宋_GB2312" w:hAnsi="宋体" w:eastAsia="仿宋_GB2312" w:cs="宋体"/>
                <w:color w:val="000000"/>
                <w:kern w:val="0"/>
                <w:sz w:val="24"/>
              </w:rPr>
            </w:pPr>
            <w:r>
              <w:rPr>
                <w:rFonts w:hint="eastAsia"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color w:val="000000"/>
                <w:kern w:val="0"/>
                <w:sz w:val="24"/>
                <w:szCs w:val="24"/>
              </w:rPr>
              <w:t>预设置点位88个</w:t>
            </w:r>
            <w:r>
              <w:rPr>
                <w:rFonts w:hint="eastAsia" w:ascii="仿宋" w:hAnsi="仿宋" w:eastAsia="仿宋" w:cs="仿宋"/>
                <w:color w:val="000000"/>
                <w:kern w:val="0"/>
                <w:sz w:val="24"/>
                <w:szCs w:val="24"/>
                <w:lang w:eastAsia="zh-CN"/>
              </w:rPr>
              <w:t>，</w:t>
            </w:r>
            <w:r>
              <w:rPr>
                <w:rFonts w:hint="eastAsia" w:ascii="仿宋" w:hAnsi="仿宋" w:eastAsia="仿宋" w:cs="仿宋"/>
                <w:sz w:val="24"/>
                <w:szCs w:val="24"/>
              </w:rPr>
              <w:t>预留10%的点位数量根据实际场地情况进行补充</w:t>
            </w:r>
            <w:r>
              <w:rPr>
                <w:rFonts w:hint="eastAsia" w:ascii="仿宋" w:hAnsi="仿宋" w:eastAsia="仿宋" w:cs="仿宋"/>
                <w:color w:val="000000" w:themeColor="text1"/>
                <w:kern w:val="0"/>
                <w:sz w:val="24"/>
                <w:szCs w:val="24"/>
                <w14:textFill>
                  <w14:solidFill>
                    <w14:schemeClr w14:val="tx1"/>
                  </w14:solidFill>
                </w14:textFill>
              </w:rPr>
              <w:t>。</w:t>
            </w:r>
          </w:p>
        </w:tc>
      </w:tr>
      <w:tr>
        <w:tblPrEx>
          <w:tblLayout w:type="fixed"/>
          <w:tblCellMar>
            <w:top w:w="0" w:type="dxa"/>
            <w:left w:w="108" w:type="dxa"/>
            <w:bottom w:w="0" w:type="dxa"/>
            <w:right w:w="108" w:type="dxa"/>
          </w:tblCellMar>
        </w:tblPrEx>
        <w:trPr>
          <w:trHeight w:val="140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合同签订生效后20天内完成检测并出具检测报告。</w:t>
            </w:r>
          </w:p>
          <w:p>
            <w:pPr>
              <w:autoSpaceDN w:val="0"/>
              <w:spacing w:line="280" w:lineRule="exact"/>
              <w:jc w:val="left"/>
              <w:textAlignment w:val="center"/>
              <w:rPr>
                <w:rFonts w:hint="eastAsia" w:ascii="仿宋" w:hAnsi="仿宋" w:eastAsia="仿宋" w:cs="仿宋"/>
                <w:sz w:val="24"/>
                <w:szCs w:val="24"/>
              </w:rPr>
            </w:pPr>
          </w:p>
          <w:p>
            <w:pPr>
              <w:autoSpaceDN w:val="0"/>
              <w:spacing w:line="280" w:lineRule="exact"/>
              <w:jc w:val="center"/>
              <w:textAlignment w:val="center"/>
              <w:rPr>
                <w:rFonts w:ascii="仿宋_GB2312" w:hAnsi="宋体" w:eastAsia="仿宋_GB2312" w:cs="宋体"/>
                <w:color w:val="000000"/>
                <w:kern w:val="0"/>
                <w:sz w:val="24"/>
              </w:rPr>
            </w:pPr>
            <w:r>
              <w:rPr>
                <w:rFonts w:hint="eastAsia" w:ascii="仿宋" w:hAnsi="仿宋" w:eastAsia="仿宋" w:cs="仿宋"/>
                <w:color w:val="000000"/>
                <w:kern w:val="0"/>
                <w:sz w:val="24"/>
                <w:szCs w:val="24"/>
              </w:rPr>
              <w:t>　</w:t>
            </w:r>
          </w:p>
        </w:tc>
      </w:tr>
      <w:tr>
        <w:tblPrEx>
          <w:tblLayout w:type="fixed"/>
          <w:tblCellMar>
            <w:top w:w="0" w:type="dxa"/>
            <w:left w:w="108" w:type="dxa"/>
            <w:bottom w:w="0" w:type="dxa"/>
            <w:right w:w="108" w:type="dxa"/>
          </w:tblCellMar>
        </w:tblPrEx>
        <w:trPr>
          <w:trHeight w:val="559"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977" w:type="dxa"/>
            <w:gridSpan w:val="6"/>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2020</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11</w:t>
            </w:r>
            <w:r>
              <w:rPr>
                <w:rFonts w:hint="eastAsia" w:ascii="仿宋_GB2312" w:hAnsi="宋体" w:eastAsia="仿宋_GB2312" w:cs="宋体"/>
                <w:color w:val="000000"/>
                <w:kern w:val="0"/>
                <w:sz w:val="24"/>
              </w:rPr>
              <w:t xml:space="preserve"> 月  </w:t>
            </w: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日　</w:t>
            </w:r>
          </w:p>
        </w:tc>
      </w:tr>
      <w:tr>
        <w:tblPrEx>
          <w:tblLayout w:type="fixed"/>
          <w:tblCellMar>
            <w:top w:w="0" w:type="dxa"/>
            <w:left w:w="108" w:type="dxa"/>
            <w:bottom w:w="0" w:type="dxa"/>
            <w:right w:w="108" w:type="dxa"/>
          </w:tblCellMar>
        </w:tblPrEx>
        <w:trPr>
          <w:trHeight w:val="720" w:hRule="atLeast"/>
        </w:trPr>
        <w:tc>
          <w:tcPr>
            <w:tcW w:w="2593"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33"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详细技术要求</w:t>
            </w:r>
          </w:p>
        </w:tc>
        <w:tc>
          <w:tcPr>
            <w:tcW w:w="1266"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报价单</w:t>
            </w:r>
          </w:p>
        </w:tc>
        <w:tc>
          <w:tcPr>
            <w:tcW w:w="2380"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其他</w:t>
            </w:r>
          </w:p>
        </w:tc>
      </w:tr>
    </w:tbl>
    <w:p>
      <w:bookmarkStart w:id="0" w:name="_GoBack"/>
      <w:bookmarkEnd w:id="0"/>
      <w:r>
        <w:br w:type="page"/>
      </w:r>
    </w:p>
    <w:tbl>
      <w:tblPr>
        <w:tblStyle w:val="6"/>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□经审计的近三年的年度财务报表*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7"/>
        <w:ind w:firstLineChars="0"/>
        <w:jc w:val="left"/>
        <w:rPr>
          <w:sz w:val="21"/>
          <w:szCs w:val="21"/>
        </w:rPr>
      </w:pPr>
      <w:r>
        <w:rPr>
          <w:rFonts w:hint="eastAsia"/>
          <w:sz w:val="21"/>
          <w:szCs w:val="21"/>
        </w:rPr>
        <w:t>注：*号项目，由采购需求部门按需调整。</w:t>
      </w:r>
    </w:p>
    <w:p>
      <w:pPr>
        <w:pStyle w:val="7"/>
        <w:ind w:firstLineChars="0"/>
        <w:jc w:val="left"/>
      </w:pPr>
    </w:p>
    <w:p>
      <w:pPr>
        <w:pStyle w:val="7"/>
        <w:ind w:firstLineChars="0"/>
        <w:jc w:val="left"/>
      </w:pPr>
    </w:p>
    <w:p>
      <w:pPr>
        <w:pStyle w:val="7"/>
        <w:ind w:firstLineChars="0"/>
        <w:jc w:val="left"/>
      </w:pPr>
    </w:p>
    <w:tbl>
      <w:tblPr>
        <w:tblStyle w:val="6"/>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注：纸质报价文件盖章后密封送达采购联系人，内含盖章版电子扫描件（U盘或光盘）</w:t>
            </w:r>
            <w:r>
              <w:rPr>
                <w:rFonts w:hint="eastAsia" w:ascii="Tahoma" w:hAnsi="Tahoma" w:cs="Tahoma"/>
                <w:color w:val="000000"/>
                <w:kern w:val="0"/>
                <w:sz w:val="20"/>
                <w:szCs w:val="20"/>
              </w:rPr>
              <w:t>。</w:t>
            </w:r>
          </w:p>
        </w:tc>
      </w:tr>
    </w:tbl>
    <w:p>
      <w:pPr>
        <w:pStyle w:val="7"/>
        <w:ind w:firstLineChars="0"/>
        <w:jc w:val="left"/>
      </w:pPr>
    </w:p>
    <w:p>
      <w:pPr>
        <w:pStyle w:val="8"/>
        <w:numPr>
          <w:ilvl w:val="0"/>
          <w:numId w:val="2"/>
        </w:numPr>
        <w:spacing w:line="360" w:lineRule="auto"/>
      </w:pPr>
      <w:r>
        <w:rPr>
          <w:rFonts w:ascii="黑体" w:hAnsi="黑体" w:eastAsia="黑体" w:cs="黑体"/>
          <w:kern w:val="0"/>
          <w:sz w:val="28"/>
          <w:szCs w:val="64"/>
        </w:rPr>
        <w:br w:type="page"/>
      </w:r>
    </w:p>
    <w:p>
      <w:pPr>
        <w:rPr>
          <w:rFonts w:hint="eastAsia"/>
          <w:sz w:val="24"/>
        </w:rPr>
      </w:pPr>
      <w:r>
        <w:rPr>
          <w:rFonts w:hint="eastAsia"/>
          <w:sz w:val="24"/>
        </w:rPr>
        <w:t>附件一：空气检测服务项目报价清单</w:t>
      </w:r>
    </w:p>
    <w:p>
      <w:pPr>
        <w:rPr>
          <w:rFonts w:hint="eastAsia"/>
          <w:sz w:val="24"/>
        </w:rPr>
      </w:pPr>
    </w:p>
    <w:tbl>
      <w:tblPr>
        <w:tblStyle w:val="6"/>
        <w:tblW w:w="8336" w:type="dxa"/>
        <w:tblInd w:w="0" w:type="dxa"/>
        <w:tblLayout w:type="fixed"/>
        <w:tblCellMar>
          <w:top w:w="15" w:type="dxa"/>
          <w:left w:w="15" w:type="dxa"/>
          <w:bottom w:w="15" w:type="dxa"/>
          <w:right w:w="15" w:type="dxa"/>
        </w:tblCellMar>
      </w:tblPr>
      <w:tblGrid>
        <w:gridCol w:w="1096"/>
        <w:gridCol w:w="3321"/>
        <w:gridCol w:w="608"/>
        <w:gridCol w:w="858"/>
        <w:gridCol w:w="1245"/>
        <w:gridCol w:w="1208"/>
      </w:tblGrid>
      <w:tr>
        <w:tblPrEx>
          <w:tblLayout w:type="fixed"/>
          <w:tblCellMar>
            <w:top w:w="15" w:type="dxa"/>
            <w:left w:w="15" w:type="dxa"/>
            <w:bottom w:w="15" w:type="dxa"/>
            <w:right w:w="15" w:type="dxa"/>
          </w:tblCellMar>
        </w:tblPrEx>
        <w:trPr>
          <w:trHeight w:val="795" w:hRule="atLeast"/>
        </w:trPr>
        <w:tc>
          <w:tcPr>
            <w:tcW w:w="83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40"/>
                <w:szCs w:val="40"/>
              </w:rPr>
            </w:pPr>
            <w:r>
              <w:rPr>
                <w:rFonts w:hint="eastAsia" w:ascii="仿宋" w:hAnsi="仿宋" w:eastAsia="仿宋" w:cs="仿宋"/>
                <w:b/>
                <w:bCs/>
                <w:sz w:val="40"/>
                <w:szCs w:val="40"/>
              </w:rPr>
              <w:t>空气检测服务项目</w:t>
            </w:r>
            <w:r>
              <w:rPr>
                <w:rFonts w:hint="eastAsia" w:ascii="仿宋" w:hAnsi="仿宋" w:eastAsia="仿宋" w:cs="仿宋"/>
                <w:b/>
                <w:color w:val="000000"/>
                <w:kern w:val="0"/>
                <w:sz w:val="40"/>
                <w:szCs w:val="40"/>
              </w:rPr>
              <w:t>报价清单</w:t>
            </w:r>
          </w:p>
        </w:tc>
      </w:tr>
      <w:tr>
        <w:tblPrEx>
          <w:tblLayout w:type="fixed"/>
          <w:tblCellMar>
            <w:top w:w="15" w:type="dxa"/>
            <w:left w:w="15" w:type="dxa"/>
            <w:bottom w:w="15" w:type="dxa"/>
            <w:right w:w="15" w:type="dxa"/>
          </w:tblCellMar>
        </w:tblPrEx>
        <w:trPr>
          <w:trHeight w:val="600" w:hRule="atLeast"/>
        </w:trPr>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物资名称</w:t>
            </w:r>
          </w:p>
        </w:tc>
        <w:tc>
          <w:tcPr>
            <w:tcW w:w="33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型号/材质</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单位</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lang w:val="en-US" w:eastAsia="zh-CN"/>
              </w:rPr>
              <w:t>预估</w:t>
            </w:r>
            <w:r>
              <w:rPr>
                <w:rFonts w:hint="eastAsia" w:ascii="仿宋" w:hAnsi="仿宋" w:eastAsia="仿宋" w:cs="仿宋"/>
                <w:b/>
                <w:color w:val="000000"/>
                <w:kern w:val="0"/>
                <w:sz w:val="32"/>
                <w:szCs w:val="32"/>
              </w:rPr>
              <w:t>数量</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单价（元）</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rPr>
              <w:t>总价（元）</w:t>
            </w:r>
          </w:p>
        </w:tc>
      </w:tr>
      <w:tr>
        <w:tblPrEx>
          <w:tblLayout w:type="fixed"/>
          <w:tblCellMar>
            <w:top w:w="15" w:type="dxa"/>
            <w:left w:w="15" w:type="dxa"/>
            <w:bottom w:w="15" w:type="dxa"/>
            <w:right w:w="15" w:type="dxa"/>
          </w:tblCellMar>
        </w:tblPrEx>
        <w:trPr>
          <w:trHeight w:val="3781" w:hRule="atLeast"/>
        </w:trPr>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空气检测服务</w:t>
            </w:r>
          </w:p>
        </w:tc>
        <w:tc>
          <w:tcPr>
            <w:tcW w:w="3321"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center"/>
              <w:textAlignment w:val="center"/>
              <w:rPr>
                <w:rFonts w:hint="eastAsia" w:ascii="仿宋" w:hAnsi="仿宋" w:eastAsia="仿宋" w:cs="仿宋"/>
                <w:color w:val="000000"/>
                <w:kern w:val="0"/>
                <w:sz w:val="24"/>
                <w:lang w:eastAsia="zh-CN"/>
              </w:rPr>
            </w:pPr>
            <w:r>
              <w:rPr>
                <w:rFonts w:hint="eastAsia" w:ascii="仿宋" w:hAnsi="仿宋" w:eastAsia="仿宋" w:cs="仿宋"/>
                <w:color w:val="000000"/>
                <w:kern w:val="0"/>
                <w:sz w:val="24"/>
              </w:rPr>
              <w:t>预设置点位88个</w:t>
            </w:r>
          </w:p>
        </w:tc>
        <w:tc>
          <w:tcPr>
            <w:tcW w:w="6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个</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2"/>
                <w:szCs w:val="22"/>
                <w:lang w:val="en-US" w:eastAsia="zh-CN"/>
              </w:rPr>
            </w:pPr>
            <w:r>
              <w:rPr>
                <w:rFonts w:hint="eastAsia" w:ascii="仿宋" w:hAnsi="仿宋" w:eastAsia="仿宋" w:cs="仿宋"/>
                <w:color w:val="000000"/>
                <w:kern w:val="0"/>
                <w:sz w:val="22"/>
                <w:szCs w:val="22"/>
              </w:rPr>
              <w:t>88</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2"/>
                <w:szCs w:val="22"/>
              </w:rPr>
            </w:pPr>
          </w:p>
        </w:tc>
        <w:tc>
          <w:tcPr>
            <w:tcW w:w="120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仿宋" w:hAnsi="仿宋" w:eastAsia="仿宋" w:cs="仿宋"/>
                <w:color w:val="000000"/>
                <w:sz w:val="22"/>
                <w:szCs w:val="22"/>
                <w:lang w:val="en-US" w:eastAsia="zh-CN"/>
              </w:rPr>
            </w:pPr>
          </w:p>
        </w:tc>
      </w:tr>
    </w:tbl>
    <w:p>
      <w:pPr>
        <w:widowControl/>
        <w:snapToGrid w:val="0"/>
        <w:spacing w:line="360" w:lineRule="auto"/>
        <w:rPr>
          <w:rFonts w:ascii="仿宋" w:hAnsi="仿宋" w:eastAsia="仿宋" w:cs="仿宋"/>
          <w:sz w:val="22"/>
          <w:szCs w:val="22"/>
        </w:rPr>
      </w:pPr>
      <w:r>
        <w:rPr>
          <w:rFonts w:hint="eastAsia" w:ascii="仿宋" w:hAnsi="仿宋" w:eastAsia="仿宋" w:cs="仿宋"/>
          <w:sz w:val="22"/>
          <w:szCs w:val="22"/>
        </w:rPr>
        <w:t>备注说明：</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ascii="仿宋" w:hAnsi="仿宋" w:eastAsia="仿宋" w:cs="仿宋"/>
          <w:sz w:val="22"/>
          <w:szCs w:val="22"/>
        </w:rPr>
      </w:pPr>
      <w:r>
        <w:rPr>
          <w:rFonts w:hint="eastAsia" w:ascii="仿宋" w:hAnsi="仿宋" w:eastAsia="仿宋" w:cs="仿宋"/>
          <w:sz w:val="22"/>
          <w:szCs w:val="22"/>
        </w:rPr>
        <w:t>1.</w:t>
      </w:r>
      <w:r>
        <w:rPr>
          <w:rFonts w:hint="eastAsia" w:ascii="仿宋" w:hAnsi="仿宋" w:eastAsia="仿宋" w:cs="仿宋"/>
          <w:sz w:val="22"/>
          <w:szCs w:val="22"/>
        </w:rPr>
        <w:tab/>
      </w:r>
      <w:r>
        <w:rPr>
          <w:rFonts w:hint="eastAsia" w:ascii="仿宋" w:hAnsi="仿宋" w:eastAsia="仿宋" w:cs="仿宋"/>
          <w:sz w:val="22"/>
          <w:szCs w:val="22"/>
        </w:rPr>
        <w:t>要求报最终结算价（含人工费、测量费、税费等一切相关费用）；</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ascii="仿宋" w:hAnsi="仿宋" w:eastAsia="仿宋" w:cs="仿宋"/>
          <w:sz w:val="22"/>
          <w:szCs w:val="22"/>
        </w:rPr>
      </w:pPr>
      <w:r>
        <w:rPr>
          <w:rFonts w:hint="eastAsia" w:ascii="仿宋" w:hAnsi="仿宋" w:eastAsia="仿宋" w:cs="仿宋"/>
          <w:sz w:val="22"/>
          <w:szCs w:val="22"/>
        </w:rPr>
        <w:t>2.</w:t>
      </w:r>
      <w:r>
        <w:rPr>
          <w:rFonts w:hint="eastAsia" w:ascii="仿宋" w:hAnsi="仿宋" w:eastAsia="仿宋" w:cs="仿宋"/>
          <w:sz w:val="22"/>
          <w:szCs w:val="22"/>
        </w:rPr>
        <w:tab/>
      </w:r>
      <w:r>
        <w:rPr>
          <w:rFonts w:hint="eastAsia" w:ascii="仿宋" w:hAnsi="仿宋" w:eastAsia="仿宋" w:cs="仿宋"/>
          <w:sz w:val="22"/>
          <w:szCs w:val="22"/>
        </w:rPr>
        <w:t>可执行交货期，要求合同签署完毕后</w:t>
      </w:r>
      <w:r>
        <w:rPr>
          <w:rFonts w:hint="eastAsia" w:ascii="仿宋" w:hAnsi="仿宋" w:eastAsia="仿宋" w:cs="仿宋"/>
          <w:sz w:val="22"/>
          <w:szCs w:val="22"/>
          <w:lang w:val="en-US" w:eastAsia="zh-CN"/>
        </w:rPr>
        <w:t>20</w:t>
      </w:r>
      <w:r>
        <w:rPr>
          <w:rFonts w:hint="eastAsia" w:ascii="仿宋" w:hAnsi="仿宋" w:eastAsia="仿宋" w:cs="仿宋"/>
          <w:sz w:val="22"/>
          <w:szCs w:val="22"/>
        </w:rPr>
        <w:t>日历日完成所有检测；</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ascii="仿宋" w:hAnsi="仿宋" w:eastAsia="仿宋" w:cs="仿宋"/>
          <w:sz w:val="22"/>
          <w:szCs w:val="22"/>
        </w:rPr>
      </w:pPr>
      <w:r>
        <w:rPr>
          <w:rFonts w:hint="eastAsia" w:ascii="仿宋" w:hAnsi="仿宋" w:eastAsia="仿宋" w:cs="仿宋"/>
          <w:sz w:val="22"/>
          <w:szCs w:val="22"/>
        </w:rPr>
        <w:t>3.</w:t>
      </w:r>
      <w:r>
        <w:rPr>
          <w:rFonts w:hint="eastAsia" w:ascii="仿宋" w:hAnsi="仿宋" w:eastAsia="仿宋" w:cs="仿宋"/>
          <w:sz w:val="22"/>
          <w:szCs w:val="22"/>
        </w:rPr>
        <w:tab/>
      </w:r>
      <w:r>
        <w:rPr>
          <w:rFonts w:hint="eastAsia" w:ascii="仿宋" w:hAnsi="仿宋" w:eastAsia="仿宋" w:cs="仿宋"/>
          <w:sz w:val="22"/>
          <w:szCs w:val="22"/>
        </w:rPr>
        <w:t>开具增值税专用发票；</w:t>
      </w: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仿宋" w:hAnsi="仿宋" w:eastAsia="仿宋" w:cs="仿宋"/>
          <w:sz w:val="22"/>
          <w:szCs w:val="22"/>
          <w:lang w:val="en-US" w:eastAsia="zh-CN"/>
        </w:rPr>
      </w:pPr>
      <w:r>
        <w:rPr>
          <w:rFonts w:hint="eastAsia" w:ascii="仿宋" w:hAnsi="仿宋" w:eastAsia="仿宋" w:cs="仿宋"/>
          <w:sz w:val="22"/>
          <w:szCs w:val="22"/>
        </w:rPr>
        <w:t>4.</w:t>
      </w:r>
      <w:r>
        <w:rPr>
          <w:rFonts w:hint="eastAsia" w:ascii="仿宋" w:hAnsi="仿宋" w:eastAsia="仿宋" w:cs="仿宋"/>
          <w:sz w:val="22"/>
          <w:szCs w:val="22"/>
        </w:rPr>
        <w:tab/>
      </w:r>
      <w:r>
        <w:rPr>
          <w:rFonts w:hint="eastAsia" w:ascii="仿宋" w:hAnsi="仿宋" w:eastAsia="仿宋" w:cs="仿宋"/>
          <w:sz w:val="22"/>
          <w:szCs w:val="22"/>
        </w:rPr>
        <w:t>报价文件加盖公章；</w:t>
      </w:r>
    </w:p>
    <w:p>
      <w:pPr>
        <w:keepNext w:val="0"/>
        <w:keepLines w:val="0"/>
        <w:pageBreakBefore w:val="0"/>
        <w:widowControl/>
        <w:numPr>
          <w:ilvl w:val="0"/>
          <w:numId w:val="3"/>
        </w:numPr>
        <w:kinsoku/>
        <w:wordWrap/>
        <w:overflowPunct/>
        <w:topLinePunct w:val="0"/>
        <w:autoSpaceDE/>
        <w:autoSpaceDN/>
        <w:bidi w:val="0"/>
        <w:adjustRightInd/>
        <w:snapToGrid w:val="0"/>
        <w:spacing w:line="360" w:lineRule="auto"/>
        <w:ind w:left="425" w:leftChars="0" w:hanging="425" w:firstLineChars="0"/>
        <w:textAlignment w:val="auto"/>
        <w:outlineLvl w:val="9"/>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单价合同，据实结算。</w:t>
      </w:r>
    </w:p>
    <w:p>
      <w:pPr>
        <w:keepNext w:val="0"/>
        <w:keepLines w:val="0"/>
        <w:pageBreakBefore w:val="0"/>
        <w:widowControl/>
        <w:numPr>
          <w:ilvl w:val="0"/>
          <w:numId w:val="3"/>
        </w:numPr>
        <w:kinsoku/>
        <w:wordWrap/>
        <w:overflowPunct/>
        <w:topLinePunct w:val="0"/>
        <w:autoSpaceDE/>
        <w:autoSpaceDN/>
        <w:bidi w:val="0"/>
        <w:adjustRightInd/>
        <w:snapToGrid w:val="0"/>
        <w:spacing w:line="360" w:lineRule="auto"/>
        <w:ind w:left="425" w:leftChars="0" w:hanging="425" w:firstLineChars="0"/>
        <w:textAlignment w:val="auto"/>
        <w:outlineLvl w:val="9"/>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付款方式，验收合格并出具检测报告后一次性付清。</w:t>
      </w:r>
    </w:p>
    <w:p>
      <w:pPr>
        <w:keepNext w:val="0"/>
        <w:keepLines w:val="0"/>
        <w:pageBreakBefore w:val="0"/>
        <w:widowControl/>
        <w:numPr>
          <w:ilvl w:val="0"/>
          <w:numId w:val="3"/>
        </w:numPr>
        <w:kinsoku/>
        <w:wordWrap/>
        <w:overflowPunct/>
        <w:topLinePunct w:val="0"/>
        <w:autoSpaceDE/>
        <w:autoSpaceDN/>
        <w:bidi w:val="0"/>
        <w:adjustRightInd/>
        <w:snapToGrid w:val="0"/>
        <w:spacing w:line="360" w:lineRule="auto"/>
        <w:ind w:left="425" w:leftChars="0" w:hanging="425" w:firstLineChars="0"/>
        <w:textAlignment w:val="auto"/>
        <w:outlineLvl w:val="9"/>
        <w:rPr>
          <w:rFonts w:hint="eastAsia" w:ascii="仿宋" w:hAnsi="仿宋" w:eastAsia="仿宋" w:cs="仿宋"/>
          <w:sz w:val="22"/>
          <w:szCs w:val="22"/>
          <w:lang w:val="en-US" w:eastAsia="zh-CN"/>
        </w:rPr>
      </w:pPr>
      <w:r>
        <w:rPr>
          <w:rFonts w:hint="eastAsia" w:ascii="仿宋" w:hAnsi="仿宋" w:eastAsia="仿宋" w:cs="仿宋"/>
          <w:color w:val="000000"/>
          <w:kern w:val="0"/>
          <w:sz w:val="24"/>
          <w:szCs w:val="24"/>
        </w:rPr>
        <w:t>纸质报价文件盖章后密封送达采购联系人，内含盖章版电子扫描件（U盘或光盘）</w:t>
      </w:r>
    </w:p>
    <w:p>
      <w:pPr>
        <w:rPr>
          <w:rFonts w:hint="eastAsia" w:eastAsia="宋体"/>
          <w:lang w:val="en-US" w:eastAsia="zh-CN"/>
        </w:rPr>
      </w:pPr>
    </w:p>
    <w:p/>
    <w:p/>
    <w:p/>
    <w:p/>
    <w:p/>
    <w:p/>
    <w:p/>
    <w:p/>
    <w:p/>
    <w:p/>
    <w:p>
      <w:pPr>
        <w:rPr>
          <w:rFonts w:hint="eastAsia"/>
          <w:sz w:val="24"/>
          <w:szCs w:val="24"/>
          <w:lang w:val="en-US" w:eastAsia="zh-CN"/>
        </w:rPr>
      </w:pPr>
      <w:r>
        <w:rPr>
          <w:rFonts w:hint="eastAsia"/>
          <w:sz w:val="24"/>
          <w:szCs w:val="24"/>
          <w:lang w:val="en-US" w:eastAsia="zh-CN"/>
        </w:rPr>
        <w:t>附件二：大客研保二期室内空气检测方案</w:t>
      </w:r>
    </w:p>
    <w:p>
      <w:pPr>
        <w:rPr>
          <w:rFonts w:hint="eastAsia"/>
          <w:sz w:val="24"/>
          <w:szCs w:val="2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大客研保二期室内空气检测方案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为切实保障公司办公环境的整洁、环保、安全，保障员工职业健康，综合保障部拟开展</w:t>
      </w:r>
      <w:r>
        <w:rPr>
          <w:rFonts w:hint="eastAsia" w:ascii="仿宋_GB2312" w:hAnsi="宋体" w:eastAsia="仿宋_GB2312"/>
          <w:sz w:val="32"/>
          <w:szCs w:val="32"/>
          <w:lang w:val="en-US" w:eastAsia="zh-CN"/>
        </w:rPr>
        <w:t>大客研保二期</w:t>
      </w:r>
      <w:r>
        <w:rPr>
          <w:rFonts w:hint="eastAsia" w:ascii="仿宋_GB2312" w:hAnsi="宋体" w:eastAsia="仿宋_GB2312"/>
          <w:sz w:val="32"/>
          <w:szCs w:val="32"/>
        </w:rPr>
        <w:t>室内办公环境有毒有害气体检测工作，拟定检测方案如下：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lang w:val="en-US" w:eastAsia="zh-CN"/>
        </w:rPr>
        <w:t>一、</w:t>
      </w:r>
      <w:r>
        <w:rPr>
          <w:rFonts w:hint="eastAsia" w:ascii="仿宋_GB2312" w:hAnsi="宋体" w:eastAsia="仿宋_GB2312"/>
          <w:sz w:val="32"/>
          <w:szCs w:val="32"/>
        </w:rPr>
        <w:t>检测依据：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1、《民用建筑工程室内环境污染控制规范》（GB 50325-</w:t>
      </w:r>
      <w:r>
        <w:rPr>
          <w:rFonts w:hint="eastAsia" w:ascii="仿宋_GB2312" w:hAnsi="宋体" w:eastAsia="仿宋_GB2312"/>
          <w:sz w:val="32"/>
          <w:szCs w:val="32"/>
          <w:lang w:val="en-US" w:eastAsia="zh-CN"/>
        </w:rPr>
        <w:t>2020版</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二、检测内容：</w:t>
      </w:r>
    </w:p>
    <w:tbl>
      <w:tblPr>
        <w:tblStyle w:val="6"/>
        <w:tblW w:w="839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5"/>
        <w:gridCol w:w="2250"/>
        <w:gridCol w:w="2251"/>
        <w:gridCol w:w="24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trPr>
        <w:tc>
          <w:tcPr>
            <w:tcW w:w="141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序号</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检测项目</w:t>
            </w:r>
          </w:p>
        </w:tc>
        <w:tc>
          <w:tcPr>
            <w:tcW w:w="225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单位</w:t>
            </w:r>
          </w:p>
        </w:tc>
        <w:tc>
          <w:tcPr>
            <w:tcW w:w="247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标准值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trPr>
        <w:tc>
          <w:tcPr>
            <w:tcW w:w="141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甲醛</w:t>
            </w:r>
          </w:p>
        </w:tc>
        <w:tc>
          <w:tcPr>
            <w:tcW w:w="225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mg/m³</w:t>
            </w:r>
          </w:p>
        </w:tc>
        <w:tc>
          <w:tcPr>
            <w:tcW w:w="247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≤0.</w:t>
            </w:r>
            <w:r>
              <w:rPr>
                <w:rFonts w:hint="eastAsia" w:ascii="仿宋" w:hAnsi="仿宋" w:eastAsia="仿宋" w:cs="仿宋"/>
                <w:sz w:val="24"/>
                <w:szCs w:val="24"/>
                <w:lang w:val="en-US" w:eastAsia="zh-CN"/>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trPr>
        <w:tc>
          <w:tcPr>
            <w:tcW w:w="141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苯</w:t>
            </w:r>
          </w:p>
        </w:tc>
        <w:tc>
          <w:tcPr>
            <w:tcW w:w="225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mg/m³</w:t>
            </w:r>
          </w:p>
        </w:tc>
        <w:tc>
          <w:tcPr>
            <w:tcW w:w="247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≤0.</w:t>
            </w:r>
            <w:r>
              <w:rPr>
                <w:rFonts w:hint="eastAsia" w:ascii="仿宋" w:hAnsi="仿宋" w:eastAsia="仿宋" w:cs="仿宋"/>
                <w:sz w:val="24"/>
                <w:szCs w:val="24"/>
                <w:lang w:val="en-US" w:eastAsia="zh-CN"/>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trPr>
        <w:tc>
          <w:tcPr>
            <w:tcW w:w="141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氨</w:t>
            </w:r>
          </w:p>
        </w:tc>
        <w:tc>
          <w:tcPr>
            <w:tcW w:w="225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mg/m³</w:t>
            </w:r>
          </w:p>
        </w:tc>
        <w:tc>
          <w:tcPr>
            <w:tcW w:w="247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≤0.</w:t>
            </w:r>
            <w:r>
              <w:rPr>
                <w:rFonts w:hint="eastAsia" w:ascii="仿宋" w:hAnsi="仿宋" w:eastAsia="仿宋" w:cs="仿宋"/>
                <w:sz w:val="24"/>
                <w:szCs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trPr>
        <w:tc>
          <w:tcPr>
            <w:tcW w:w="141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TVOC</w:t>
            </w:r>
          </w:p>
        </w:tc>
        <w:tc>
          <w:tcPr>
            <w:tcW w:w="225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mg/m³</w:t>
            </w:r>
          </w:p>
        </w:tc>
        <w:tc>
          <w:tcPr>
            <w:tcW w:w="247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≤0.</w:t>
            </w:r>
            <w:r>
              <w:rPr>
                <w:rFonts w:hint="eastAsia" w:ascii="仿宋" w:hAnsi="仿宋" w:eastAsia="仿宋" w:cs="仿宋"/>
                <w:sz w:val="24"/>
                <w:szCs w:val="24"/>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141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5</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氡</w:t>
            </w:r>
          </w:p>
        </w:tc>
        <w:tc>
          <w:tcPr>
            <w:tcW w:w="225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Bq</w:t>
            </w:r>
            <w:r>
              <w:rPr>
                <w:rFonts w:hint="eastAsia" w:ascii="仿宋" w:hAnsi="仿宋" w:eastAsia="仿宋" w:cs="仿宋"/>
                <w:sz w:val="24"/>
                <w:szCs w:val="24"/>
              </w:rPr>
              <w:t>/m³</w:t>
            </w:r>
          </w:p>
        </w:tc>
        <w:tc>
          <w:tcPr>
            <w:tcW w:w="247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141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甲苯</w:t>
            </w:r>
          </w:p>
        </w:tc>
        <w:tc>
          <w:tcPr>
            <w:tcW w:w="225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mg/m³</w:t>
            </w:r>
          </w:p>
        </w:tc>
        <w:tc>
          <w:tcPr>
            <w:tcW w:w="247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rPr>
              <w:t>≤0.</w:t>
            </w:r>
            <w:r>
              <w:rPr>
                <w:rFonts w:hint="eastAsia" w:ascii="仿宋" w:hAnsi="仿宋" w:eastAsia="仿宋" w:cs="仿宋"/>
                <w:sz w:val="24"/>
                <w:szCs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141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2250"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二甲苯</w:t>
            </w:r>
          </w:p>
        </w:tc>
        <w:tc>
          <w:tcPr>
            <w:tcW w:w="225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mg/m³</w:t>
            </w:r>
          </w:p>
        </w:tc>
        <w:tc>
          <w:tcPr>
            <w:tcW w:w="247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≤0.</w:t>
            </w:r>
            <w:r>
              <w:rPr>
                <w:rFonts w:hint="eastAsia" w:ascii="仿宋" w:hAnsi="仿宋" w:eastAsia="仿宋" w:cs="仿宋"/>
                <w:sz w:val="24"/>
                <w:szCs w:val="24"/>
                <w:lang w:val="en-US" w:eastAsia="zh-CN"/>
              </w:rPr>
              <w:t>20</w:t>
            </w:r>
          </w:p>
        </w:tc>
      </w:tr>
    </w:tbl>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三、检测范围：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宋体" w:eastAsia="仿宋_GB2312"/>
          <w:sz w:val="32"/>
          <w:szCs w:val="32"/>
        </w:rPr>
      </w:pPr>
      <w:r>
        <w:rPr>
          <w:rFonts w:hint="eastAsia" w:ascii="仿宋_GB2312" w:hAnsi="宋体" w:eastAsia="仿宋_GB2312"/>
          <w:sz w:val="32"/>
          <w:szCs w:val="32"/>
        </w:rPr>
        <w:t>根据《民用建筑工程室内环境污染控制规范》要求，抽检范围不低于室内总房间数的5%，房间内部按面积大小分别设置不同数量的检测点位数（小于50</w:t>
      </w:r>
      <w:r>
        <w:rPr>
          <w:rFonts w:hint="eastAsia" w:ascii="宋体" w:hAnsi="宋体" w:cs="宋体"/>
          <w:sz w:val="32"/>
          <w:szCs w:val="32"/>
        </w:rPr>
        <w:t>㎡</w:t>
      </w:r>
      <w:r>
        <w:rPr>
          <w:rFonts w:hint="eastAsia" w:ascii="仿宋_GB2312" w:hAnsi="仿宋_GB2312" w:eastAsia="仿宋_GB2312" w:cs="仿宋_GB2312"/>
          <w:sz w:val="32"/>
          <w:szCs w:val="32"/>
        </w:rPr>
        <w:t>的设置</w:t>
      </w:r>
      <w:r>
        <w:rPr>
          <w:rFonts w:hint="eastAsia" w:ascii="仿宋_GB2312" w:hAnsi="宋体" w:eastAsia="仿宋_GB2312"/>
          <w:sz w:val="32"/>
          <w:szCs w:val="32"/>
        </w:rPr>
        <w:t>1个点位，50-100</w:t>
      </w:r>
      <w:r>
        <w:rPr>
          <w:rFonts w:hint="eastAsia" w:ascii="宋体" w:hAnsi="宋体" w:cs="宋体"/>
          <w:sz w:val="32"/>
          <w:szCs w:val="32"/>
        </w:rPr>
        <w:t>㎡</w:t>
      </w:r>
      <w:r>
        <w:rPr>
          <w:rFonts w:hint="eastAsia" w:ascii="仿宋_GB2312" w:hAnsi="仿宋_GB2312" w:eastAsia="仿宋_GB2312" w:cs="仿宋_GB2312"/>
          <w:sz w:val="32"/>
          <w:szCs w:val="32"/>
        </w:rPr>
        <w:t>的设置</w:t>
      </w:r>
      <w:r>
        <w:rPr>
          <w:rFonts w:hint="eastAsia" w:ascii="仿宋_GB2312" w:hAnsi="宋体" w:eastAsia="仿宋_GB2312"/>
          <w:sz w:val="32"/>
          <w:szCs w:val="32"/>
        </w:rPr>
        <w:t>2个点位，100-500</w:t>
      </w:r>
      <w:r>
        <w:rPr>
          <w:rFonts w:hint="eastAsia" w:ascii="宋体" w:hAnsi="宋体" w:cs="宋体"/>
          <w:sz w:val="32"/>
          <w:szCs w:val="32"/>
        </w:rPr>
        <w:t>㎡</w:t>
      </w:r>
      <w:r>
        <w:rPr>
          <w:rFonts w:hint="eastAsia" w:ascii="仿宋_GB2312" w:hAnsi="仿宋_GB2312" w:eastAsia="仿宋_GB2312" w:cs="仿宋_GB2312"/>
          <w:sz w:val="32"/>
          <w:szCs w:val="32"/>
        </w:rPr>
        <w:t>的不少于</w:t>
      </w:r>
      <w:r>
        <w:rPr>
          <w:rFonts w:hint="eastAsia" w:ascii="仿宋_GB2312" w:hAnsi="宋体" w:eastAsia="仿宋_GB2312"/>
          <w:sz w:val="32"/>
          <w:szCs w:val="32"/>
        </w:rPr>
        <w:t>3个点位，500-1000</w:t>
      </w:r>
      <w:r>
        <w:rPr>
          <w:rFonts w:hint="eastAsia" w:ascii="宋体" w:hAnsi="宋体" w:cs="宋体"/>
          <w:sz w:val="32"/>
          <w:szCs w:val="32"/>
        </w:rPr>
        <w:t>㎡</w:t>
      </w:r>
      <w:r>
        <w:rPr>
          <w:rFonts w:hint="eastAsia" w:ascii="仿宋_GB2312" w:hAnsi="仿宋_GB2312" w:eastAsia="仿宋_GB2312" w:cs="仿宋_GB2312"/>
          <w:sz w:val="32"/>
          <w:szCs w:val="32"/>
        </w:rPr>
        <w:t>的不少于</w:t>
      </w:r>
      <w:r>
        <w:rPr>
          <w:rFonts w:hint="eastAsia" w:ascii="仿宋_GB2312" w:hAnsi="宋体" w:eastAsia="仿宋_GB2312"/>
          <w:sz w:val="32"/>
          <w:szCs w:val="32"/>
        </w:rPr>
        <w:t>5个点位）。经统计，各类房间情况和布点方案如下：</w:t>
      </w:r>
    </w:p>
    <w:tbl>
      <w:tblPr>
        <w:tblStyle w:val="6"/>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03"/>
        <w:gridCol w:w="2520"/>
        <w:gridCol w:w="1980"/>
        <w:gridCol w:w="2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8336" w:type="dxa"/>
            <w:gridSpan w:val="4"/>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大客研报二期空气检测方案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403"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楼层</w:t>
            </w:r>
          </w:p>
        </w:tc>
        <w:tc>
          <w:tcPr>
            <w:tcW w:w="252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类型</w:t>
            </w:r>
          </w:p>
        </w:tc>
        <w:tc>
          <w:tcPr>
            <w:tcW w:w="1980"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lang w:val="en-US"/>
              </w:rPr>
            </w:pPr>
            <w:r>
              <w:rPr>
                <w:rFonts w:hint="eastAsia" w:ascii="宋体" w:hAnsi="宋体" w:eastAsia="宋体" w:cs="宋体"/>
                <w:b/>
                <w:i w:val="0"/>
                <w:color w:val="000000"/>
                <w:kern w:val="0"/>
                <w:sz w:val="24"/>
                <w:szCs w:val="24"/>
                <w:u w:val="none"/>
                <w:lang w:val="en-US" w:eastAsia="zh-CN" w:bidi="ar"/>
              </w:rPr>
              <w:t>面积</w:t>
            </w:r>
            <w:r>
              <w:rPr>
                <w:rFonts w:hint="eastAsia" w:ascii="宋体" w:hAnsi="宋体" w:cs="宋体"/>
                <w:b/>
                <w:i w:val="0"/>
                <w:color w:val="000000"/>
                <w:kern w:val="0"/>
                <w:sz w:val="24"/>
                <w:szCs w:val="24"/>
                <w:u w:val="none"/>
                <w:lang w:val="en-US" w:eastAsia="zh-CN" w:bidi="ar"/>
              </w:rPr>
              <w:t>（㎡）</w:t>
            </w:r>
          </w:p>
        </w:tc>
        <w:tc>
          <w:tcPr>
            <w:tcW w:w="2433"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lang w:val="en-US"/>
              </w:rPr>
            </w:pPr>
            <w:r>
              <w:rPr>
                <w:rFonts w:hint="eastAsia" w:ascii="宋体" w:hAnsi="宋体" w:eastAsia="宋体" w:cs="宋体"/>
                <w:b/>
                <w:i w:val="0"/>
                <w:color w:val="000000"/>
                <w:kern w:val="0"/>
                <w:sz w:val="24"/>
                <w:szCs w:val="24"/>
                <w:u w:val="none"/>
                <w:lang w:val="en-US" w:eastAsia="zh-CN" w:bidi="ar"/>
              </w:rPr>
              <w:t>采样点数</w:t>
            </w:r>
            <w:r>
              <w:rPr>
                <w:rFonts w:hint="eastAsia" w:ascii="宋体" w:hAnsi="宋体" w:cs="宋体"/>
                <w:b/>
                <w:i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3"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地下一层</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值班室</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3" w:type="dxa"/>
            <w:vMerge w:val="restart"/>
            <w:tcBorders>
              <w:top w:val="single" w:color="000000" w:sz="4" w:space="0"/>
              <w:left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一层</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continue"/>
            <w:tcBorders>
              <w:left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模拟机大厅值班室</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3" w:type="dxa"/>
            <w:vMerge w:val="continue"/>
            <w:tcBorders>
              <w:left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参观门厅</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50-100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continue"/>
            <w:tcBorders>
              <w:left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机务操作区</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50-100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continue"/>
            <w:tcBorders>
              <w:left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乘务人员准备室</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3" w:type="dxa"/>
            <w:vMerge w:val="continue"/>
            <w:tcBorders>
              <w:left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机务操作大厅</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100-500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continue"/>
            <w:tcBorders>
              <w:left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办公门厅</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3" w:type="dxa"/>
            <w:vMerge w:val="continue"/>
            <w:tcBorders>
              <w:left w:val="single" w:color="000000" w:sz="12"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合计</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restart"/>
            <w:tcBorders>
              <w:top w:val="single" w:color="000000" w:sz="4" w:space="0"/>
              <w:left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二层</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管理室</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continue"/>
            <w:tcBorders>
              <w:left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飞行员观察室</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continue"/>
            <w:tcBorders>
              <w:left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办公室</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3" w:type="dxa"/>
            <w:vMerge w:val="continue"/>
            <w:tcBorders>
              <w:left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服务间</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3" w:type="dxa"/>
            <w:vMerge w:val="continue"/>
            <w:tcBorders>
              <w:left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飞行员休息室</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50-100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3" w:type="dxa"/>
            <w:vMerge w:val="continue"/>
            <w:tcBorders>
              <w:left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局方工作</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3" w:type="dxa"/>
            <w:vMerge w:val="continue"/>
            <w:tcBorders>
              <w:left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仿真实验室</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100-500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continue"/>
            <w:tcBorders>
              <w:left w:val="single" w:color="000000" w:sz="12"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合计</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三层</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管理室</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操作机房</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50-100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操作机房</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操作机房</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100-500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休息区</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100-500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会议室</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100-500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配套办公区</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合计</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restart"/>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四层</w:t>
            </w: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实务操作间</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100-500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3"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实务操作间</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50-100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休息区</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100-500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配套办公区</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500-1000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会议室</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50-100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配套办公区</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3" w:type="dxa"/>
            <w:vMerge w:val="continue"/>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会议室</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3"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配套办公区</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2"/>
                <w:szCs w:val="22"/>
                <w:u w:val="none"/>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合计</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p>
        </w:tc>
        <w:tc>
          <w:tcPr>
            <w:tcW w:w="2433"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3"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仿宋" w:hAnsi="仿宋" w:eastAsia="仿宋" w:cs="仿宋"/>
                <w:b/>
                <w:bCs/>
                <w:i w:val="0"/>
                <w:color w:val="000000"/>
                <w:sz w:val="22"/>
                <w:szCs w:val="22"/>
                <w:u w:val="none"/>
                <w:lang w:val="en-US" w:eastAsia="zh-CN"/>
              </w:rPr>
            </w:pPr>
            <w:r>
              <w:rPr>
                <w:rFonts w:hint="eastAsia" w:ascii="仿宋" w:hAnsi="仿宋" w:eastAsia="仿宋" w:cs="仿宋"/>
                <w:b/>
                <w:bCs/>
                <w:i w:val="0"/>
                <w:color w:val="000000"/>
                <w:sz w:val="22"/>
                <w:szCs w:val="22"/>
                <w:u w:val="none"/>
                <w:lang w:val="en-US" w:eastAsia="zh-CN"/>
              </w:rPr>
              <w:t>共计</w:t>
            </w:r>
          </w:p>
        </w:tc>
        <w:tc>
          <w:tcPr>
            <w:tcW w:w="4500" w:type="dxa"/>
            <w:gridSpan w:val="2"/>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p>
        </w:tc>
        <w:tc>
          <w:tcPr>
            <w:tcW w:w="2433" w:type="dxa"/>
            <w:tcBorders>
              <w:top w:val="single" w:color="000000" w:sz="4" w:space="0"/>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88</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*注：上述方案采样点数及估算总价不包含10%的预留点位，最终检测费用根据实际采样为准。</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_GB2312" w:hAnsi="宋体" w:eastAsia="仿宋_GB2312"/>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A9ADEE"/>
    <w:multiLevelType w:val="singleLevel"/>
    <w:tmpl w:val="DEA9ADEE"/>
    <w:lvl w:ilvl="0" w:tentative="0">
      <w:start w:val="1"/>
      <w:numFmt w:val="decimal"/>
      <w:lvlText w:val="%1."/>
      <w:lvlJc w:val="left"/>
      <w:pPr>
        <w:tabs>
          <w:tab w:val="left" w:pos="312"/>
        </w:tabs>
      </w:pPr>
    </w:lvl>
  </w:abstractNum>
  <w:abstractNum w:abstractNumId="1">
    <w:nsid w:val="596D2992"/>
    <w:multiLevelType w:val="singleLevel"/>
    <w:tmpl w:val="596D2992"/>
    <w:lvl w:ilvl="0" w:tentative="0">
      <w:start w:val="5"/>
      <w:numFmt w:val="decimal"/>
      <w:lvlText w:val="%1."/>
      <w:lvlJc w:val="left"/>
      <w:pPr>
        <w:tabs>
          <w:tab w:val="left" w:pos="420"/>
        </w:tabs>
        <w:ind w:left="425" w:leftChars="0" w:hanging="425" w:firstLineChars="0"/>
      </w:pPr>
      <w:rPr>
        <w:rFonts w:hint="default"/>
      </w:rPr>
    </w:lvl>
  </w:abstractNum>
  <w:abstractNum w:abstractNumId="2">
    <w:nsid w:val="6B89250C"/>
    <w:multiLevelType w:val="multilevel"/>
    <w:tmpl w:val="6B89250C"/>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626F1"/>
    <w:rsid w:val="00134CE0"/>
    <w:rsid w:val="00290EAA"/>
    <w:rsid w:val="003D0988"/>
    <w:rsid w:val="00485A03"/>
    <w:rsid w:val="007C5A27"/>
    <w:rsid w:val="00B3736E"/>
    <w:rsid w:val="14D313D6"/>
    <w:rsid w:val="153140DF"/>
    <w:rsid w:val="17262ACE"/>
    <w:rsid w:val="179717B3"/>
    <w:rsid w:val="22667369"/>
    <w:rsid w:val="27732DDE"/>
    <w:rsid w:val="32422F0E"/>
    <w:rsid w:val="32AC53E3"/>
    <w:rsid w:val="356626F1"/>
    <w:rsid w:val="3A571795"/>
    <w:rsid w:val="42D8098D"/>
    <w:rsid w:val="4E8F5DF0"/>
    <w:rsid w:val="50A07DF7"/>
    <w:rsid w:val="53503E4E"/>
    <w:rsid w:val="596215CD"/>
    <w:rsid w:val="60154131"/>
    <w:rsid w:val="64667EFF"/>
    <w:rsid w:val="660F154B"/>
    <w:rsid w:val="705525F9"/>
    <w:rsid w:val="72B612EA"/>
    <w:rsid w:val="74F52D89"/>
    <w:rsid w:val="785C492C"/>
    <w:rsid w:val="7CDC5D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8">
    <w:name w:val="List Paragraph"/>
    <w:basedOn w:val="1"/>
    <w:qFormat/>
    <w:uiPriority w:val="0"/>
    <w:pPr>
      <w:ind w:firstLine="420" w:firstLineChars="200"/>
    </w:pPr>
  </w:style>
  <w:style w:type="character" w:customStyle="1" w:styleId="9">
    <w:name w:val="页眉 Char"/>
    <w:basedOn w:val="5"/>
    <w:link w:val="4"/>
    <w:qFormat/>
    <w:uiPriority w:val="0"/>
    <w:rPr>
      <w:kern w:val="2"/>
      <w:sz w:val="18"/>
      <w:szCs w:val="18"/>
    </w:rPr>
  </w:style>
  <w:style w:type="character" w:customStyle="1" w:styleId="10">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1269</Words>
  <Characters>353</Characters>
  <Lines>2</Lines>
  <Paragraphs>3</Paragraphs>
  <TotalTime>5</TotalTime>
  <ScaleCrop>false</ScaleCrop>
  <LinksUpToDate>false</LinksUpToDate>
  <CharactersWithSpaces>1619</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2020-07-30T07:17:00Z</dcterms:created>
  <dc:creator>姜喆</dc:creator>
  <cp:lastModifiedBy>410638</cp:lastModifiedBy>
  <cp:lastPrinted>2020-10-26T08:25:00Z</cp:lastPrinted>
  <dcterms:modified xsi:type="dcterms:W3CDTF">2020-10-27T05:09:36Z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