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</w:t>
      </w:r>
      <w:r>
        <w:rPr>
          <w:rFonts w:hint="eastAsia" w:ascii="仿宋_GB2312" w:eastAsia="仿宋_GB2312"/>
          <w:sz w:val="32"/>
          <w:lang w:eastAsia="zh-CN"/>
        </w:rPr>
        <w:t>电器类</w:t>
      </w:r>
      <w:r>
        <w:rPr>
          <w:rFonts w:hint="eastAsia" w:ascii="仿宋_GB2312" w:eastAsia="仿宋_GB2312"/>
          <w:sz w:val="32"/>
        </w:rPr>
        <w:t>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 xml:space="preserve"> 月 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 xml:space="preserve"> 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  <w:r>
        <w:br w:type="page"/>
      </w:r>
    </w:p>
    <w:tbl>
      <w:tblPr>
        <w:tblStyle w:val="7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eastAsia="zh-CN"/>
              </w:rPr>
              <w:t>尹然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18019196803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haorhea@Tom.com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吸尘器、小冰箱、电话机、大理石打磨机采购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Toc392638933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</w:t>
            </w:r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应具备独立法人资格；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1" w:name="_Toc392638934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</w:t>
            </w:r>
            <w:bookmarkEnd w:id="1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）有能力提供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货物及服务的国内企业，经营范围应具有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电器销售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等的资质或授权；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（3）上海飞机客户服务有限公司在职员工以及直系亲属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所供职的供应商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，不得参与投标。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4）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eastAsia="zh-CN"/>
              </w:rPr>
              <w:t>供应商拥有合法销售报价文件中货物的全部政府许可、生产和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/或使用许可和/或授权。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（5）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未被列入全国失信被执行人名单，披露正在审理或执行完毕的标的金额大于500 万元人民币（含本数）的重大诉讼、仲裁、索赔、行政复议或行政处罚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具有报价文件中物品的销售及后续维护维修保障能力。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80" w:lineRule="exact"/>
              <w:ind w:leftChars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详见附件《报价单》中的规格要求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（1）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供应商应于合同生效后三十个日历日内将采购方所购货物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送达到上海市闵行区江川东路100号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并完成安装调试；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（2）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交付前，供应商应提前同采购方联系确认收货事宜。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8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</w:t>
      </w:r>
      <w:bookmarkStart w:id="2" w:name="_GoBack"/>
      <w:bookmarkEnd w:id="2"/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的市场可选择性。</w:t>
      </w:r>
    </w:p>
    <w:p>
      <w:pPr>
        <w:pStyle w:val="8"/>
        <w:ind w:firstLineChars="0"/>
        <w:jc w:val="left"/>
      </w:pPr>
    </w:p>
    <w:p>
      <w:r>
        <w:br w:type="page"/>
      </w:r>
    </w:p>
    <w:tbl>
      <w:tblPr>
        <w:tblStyle w:val="7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8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tbl>
      <w:tblPr>
        <w:tblStyle w:val="7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纸质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8"/>
        <w:ind w:firstLineChars="0"/>
        <w:jc w:val="left"/>
      </w:pPr>
    </w:p>
    <w:p>
      <w:pPr>
        <w:rPr>
          <w:rFonts w:ascii="黑体" w:hAnsi="黑体" w:eastAsia="黑体" w:cs="黑体"/>
          <w:kern w:val="0"/>
          <w:sz w:val="28"/>
          <w:szCs w:val="6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 w:cs="黑体"/>
          <w:kern w:val="0"/>
          <w:sz w:val="28"/>
          <w:szCs w:val="64"/>
        </w:rPr>
        <w:br w:type="page"/>
      </w:r>
    </w:p>
    <w:p>
      <w:pPr>
        <w:rPr>
          <w:rFonts w:hint="eastAsia" w:ascii="仿宋_GB2312" w:eastAsia="仿宋_GB2312"/>
          <w:b/>
          <w:sz w:val="32"/>
        </w:rPr>
      </w:pPr>
      <w:r>
        <w:rPr>
          <w:rFonts w:hint="eastAsia" w:ascii="宋体" w:hAnsi="宋体"/>
          <w:bCs/>
          <w:sz w:val="32"/>
        </w:rPr>
        <w:t>附件：</w:t>
      </w:r>
    </w:p>
    <w:tbl>
      <w:tblPr>
        <w:tblStyle w:val="7"/>
        <w:tblW w:w="1460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140" w:firstLineChars="1600"/>
              <w:jc w:val="both"/>
              <w:rPr>
                <w:rFonts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报价单</w:t>
            </w:r>
          </w:p>
          <w:p>
            <w:pPr>
              <w:jc w:val="both"/>
              <w:rPr>
                <w:rFonts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2"/>
              <w:ind w:firstLine="360" w:firstLineChars="1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报价日期：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报价公司：</w:t>
            </w:r>
          </w:p>
          <w:p>
            <w:pPr>
              <w:pStyle w:val="12"/>
              <w:ind w:firstLine="360" w:firstLineChars="1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联系人及联系电话：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tbl>
            <w:tblPr>
              <w:tblStyle w:val="7"/>
              <w:tblpPr w:leftFromText="180" w:rightFromText="180" w:vertAnchor="text" w:horzAnchor="margin" w:tblpY="-162"/>
              <w:tblOverlap w:val="never"/>
              <w:tblW w:w="1091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5"/>
              <w:gridCol w:w="1293"/>
              <w:gridCol w:w="1046"/>
              <w:gridCol w:w="2339"/>
              <w:gridCol w:w="1151"/>
              <w:gridCol w:w="1276"/>
              <w:gridCol w:w="1276"/>
              <w:gridCol w:w="1134"/>
              <w:gridCol w:w="85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7" w:hRule="atLeast"/>
              </w:trPr>
              <w:tc>
                <w:tcPr>
                  <w:tcW w:w="5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A5A5A5"/>
                  <w:vAlign w:val="center"/>
                </w:tcPr>
                <w:p>
                  <w:pPr>
                    <w:widowControl/>
                    <w:spacing w:line="360" w:lineRule="auto"/>
                    <w:jc w:val="both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  <w:t>序号</w:t>
                  </w:r>
                </w:p>
              </w:tc>
              <w:tc>
                <w:tcPr>
                  <w:tcW w:w="129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A5A5A5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  <w:t>名称</w:t>
                  </w:r>
                </w:p>
              </w:tc>
              <w:tc>
                <w:tcPr>
                  <w:tcW w:w="10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A5A5A5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  <w:t>区域</w:t>
                  </w:r>
                </w:p>
              </w:tc>
              <w:tc>
                <w:tcPr>
                  <w:tcW w:w="23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A5A5A5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  <w:t>规格</w:t>
                  </w:r>
                </w:p>
              </w:tc>
              <w:tc>
                <w:tcPr>
                  <w:tcW w:w="11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A5A5A5"/>
                  <w:vAlign w:val="top"/>
                </w:tcPr>
                <w:p>
                  <w:pPr>
                    <w:widowControl/>
                    <w:jc w:val="both"/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  <w:lang w:eastAsia="zh-CN"/>
                    </w:rPr>
                  </w:pPr>
                </w:p>
                <w:p>
                  <w:pPr>
                    <w:widowControl/>
                    <w:ind w:firstLine="201" w:firstLineChars="100"/>
                    <w:jc w:val="both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  <w:lang w:eastAsia="zh-CN"/>
                    </w:rPr>
                    <w:t>数量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A5A5A5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  <w:t>单价（元）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A5A5A5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  <w:t>合计（元）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A5A5A5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  <w:t>参考图片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A5A5A5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7" w:hRule="atLeast"/>
              </w:trPr>
              <w:tc>
                <w:tcPr>
                  <w:tcW w:w="54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  <w:t>吸尘器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</w:rPr>
                    <w:t>客房、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</w:rPr>
                    <w:t>公共区域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  <w:t>力奇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  <w:t>/桶式静音吸尘器GD1018</w:t>
                  </w:r>
                </w:p>
              </w:tc>
              <w:tc>
                <w:tcPr>
                  <w:tcW w:w="11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2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2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  <w:drawing>
                      <wp:inline distT="0" distB="0" distL="114300" distR="114300">
                        <wp:extent cx="582295" cy="688975"/>
                        <wp:effectExtent l="0" t="0" r="8255" b="15875"/>
                        <wp:docPr id="1" name="图片 1" descr="吸尘器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吸尘器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29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7" w:hRule="atLeast"/>
              </w:trPr>
              <w:tc>
                <w:tcPr>
                  <w:tcW w:w="54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  <w:t>小冰箱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</w:rPr>
                    <w:t xml:space="preserve">客房 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  <w:t>先科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  <w:t>BC-50L</w:t>
                  </w:r>
                </w:p>
              </w:tc>
              <w:tc>
                <w:tcPr>
                  <w:tcW w:w="11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2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2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  <w:drawing>
                      <wp:inline distT="0" distB="0" distL="114300" distR="114300">
                        <wp:extent cx="578485" cy="493395"/>
                        <wp:effectExtent l="0" t="0" r="12065" b="1905"/>
                        <wp:docPr id="4" name="图片 2" descr="小冰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2" descr="小冰箱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8485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7" w:hRule="atLeast"/>
              </w:trPr>
              <w:tc>
                <w:tcPr>
                  <w:tcW w:w="54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  <w:t>电话机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  <w:t>客房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  <w:t>单线电话机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  <w:t>HA9888(38)TSD-A-10S</w:t>
                  </w:r>
                </w:p>
              </w:tc>
              <w:tc>
                <w:tcPr>
                  <w:tcW w:w="11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2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2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  <w:drawing>
                      <wp:inline distT="0" distB="0" distL="114300" distR="114300">
                        <wp:extent cx="578485" cy="464185"/>
                        <wp:effectExtent l="0" t="0" r="12065" b="12065"/>
                        <wp:docPr id="3" name="图片 3" descr="电话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电话机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8485" cy="464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7" w:hRule="atLeast"/>
              </w:trPr>
              <w:tc>
                <w:tcPr>
                  <w:tcW w:w="54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  <w:t>4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  <w:t>大理石打磨机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  <w:t>公共区域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eastAsia="zh-CN"/>
                    </w:rPr>
                    <w:t>力奇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  <w:t xml:space="preserve"> P18-150HD</w:t>
                  </w:r>
                </w:p>
              </w:tc>
              <w:tc>
                <w:tcPr>
                  <w:tcW w:w="11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20" w:lineRule="auto"/>
                    <w:jc w:val="center"/>
                    <w:textAlignment w:val="auto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20" w:lineRule="auto"/>
                    <w:jc w:val="center"/>
                    <w:textAlignment w:val="auto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lang w:val="en-US"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lang w:eastAsia="zh-CN"/>
                    </w:rPr>
                    <w:drawing>
                      <wp:inline distT="0" distB="0" distL="114300" distR="114300">
                        <wp:extent cx="532130" cy="684530"/>
                        <wp:effectExtent l="0" t="0" r="1270" b="1270"/>
                        <wp:docPr id="2" name="图片 4" descr="力奇P18-150H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4" descr="力奇P18-150H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 t="24510" b="230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130" cy="684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5" w:hRule="atLeast"/>
              </w:trPr>
              <w:tc>
                <w:tcPr>
                  <w:tcW w:w="765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color w:val="000000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0"/>
                    </w:rPr>
                    <w:t>合计（元）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8190"/>
              </w:tabs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60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备注说明： 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本合同将以单价形式签订；</w:t>
            </w:r>
          </w:p>
          <w:p>
            <w:pPr>
              <w:ind w:firstLine="1100" w:firstLineChars="50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2、要求报最终结算价（含运费、包装费、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安装调试费、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税费等一切相关费用）； 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3、如有折扣需报折后价，如有其它优惠请注明；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4、要求明确交货期；</w:t>
            </w:r>
          </w:p>
          <w:p>
            <w:pPr>
              <w:ind w:firstLine="1100" w:firstLineChars="50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5、要求报价公司明确对产品质量及售后服务的承诺；</w:t>
            </w:r>
          </w:p>
          <w:p>
            <w:pPr>
              <w:ind w:firstLine="1100" w:firstLineChars="50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6、开具增值税专用发票；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7、报价文件加盖公章；         </w:t>
            </w:r>
          </w:p>
          <w:p>
            <w:pPr>
              <w:ind w:firstLine="1100" w:firstLineChars="5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交货地点为闵行区江川东路100号。</w:t>
            </w:r>
          </w:p>
        </w:tc>
      </w:tr>
    </w:tbl>
    <w:p>
      <w:pPr>
        <w:pStyle w:val="9"/>
        <w:numPr>
          <w:ilvl w:val="0"/>
          <w:numId w:val="0"/>
        </w:numPr>
        <w:spacing w:line="360" w:lineRule="auto"/>
        <w:ind w:leftChars="0"/>
        <w:rPr>
          <w:sz w:val="24"/>
        </w:rPr>
      </w:pPr>
    </w:p>
    <w:p/>
    <w:sectPr>
      <w:pgSz w:w="11906" w:h="16838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AE8"/>
    <w:multiLevelType w:val="multilevel"/>
    <w:tmpl w:val="63B60AE8"/>
    <w:lvl w:ilvl="0" w:tentative="0">
      <w:start w:val="1"/>
      <w:numFmt w:val="decimal"/>
      <w:lvlText w:val="%1、"/>
      <w:lvlJc w:val="left"/>
      <w:pPr>
        <w:ind w:left="14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40" w:hanging="420"/>
      </w:pPr>
    </w:lvl>
    <w:lvl w:ilvl="2" w:tentative="0">
      <w:start w:val="1"/>
      <w:numFmt w:val="lowerRoman"/>
      <w:lvlText w:val="%3."/>
      <w:lvlJc w:val="right"/>
      <w:pPr>
        <w:ind w:left="2360" w:hanging="420"/>
      </w:pPr>
    </w:lvl>
    <w:lvl w:ilvl="3" w:tentative="0">
      <w:start w:val="1"/>
      <w:numFmt w:val="decimal"/>
      <w:lvlText w:val="%4."/>
      <w:lvlJc w:val="left"/>
      <w:pPr>
        <w:ind w:left="2780" w:hanging="420"/>
      </w:pPr>
    </w:lvl>
    <w:lvl w:ilvl="4" w:tentative="0">
      <w:start w:val="1"/>
      <w:numFmt w:val="lowerLetter"/>
      <w:lvlText w:val="%5)"/>
      <w:lvlJc w:val="left"/>
      <w:pPr>
        <w:ind w:left="3200" w:hanging="420"/>
      </w:pPr>
    </w:lvl>
    <w:lvl w:ilvl="5" w:tentative="0">
      <w:start w:val="1"/>
      <w:numFmt w:val="lowerRoman"/>
      <w:lvlText w:val="%6."/>
      <w:lvlJc w:val="right"/>
      <w:pPr>
        <w:ind w:left="3620" w:hanging="420"/>
      </w:pPr>
    </w:lvl>
    <w:lvl w:ilvl="6" w:tentative="0">
      <w:start w:val="1"/>
      <w:numFmt w:val="decimal"/>
      <w:lvlText w:val="%7."/>
      <w:lvlJc w:val="left"/>
      <w:pPr>
        <w:ind w:left="4040" w:hanging="420"/>
      </w:pPr>
    </w:lvl>
    <w:lvl w:ilvl="7" w:tentative="0">
      <w:start w:val="1"/>
      <w:numFmt w:val="lowerLetter"/>
      <w:lvlText w:val="%8)"/>
      <w:lvlJc w:val="left"/>
      <w:pPr>
        <w:ind w:left="4460" w:hanging="420"/>
      </w:pPr>
    </w:lvl>
    <w:lvl w:ilvl="8" w:tentative="0">
      <w:start w:val="1"/>
      <w:numFmt w:val="lowerRoman"/>
      <w:lvlText w:val="%9."/>
      <w:lvlJc w:val="righ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26F1"/>
    <w:rsid w:val="00134CE0"/>
    <w:rsid w:val="00290EAA"/>
    <w:rsid w:val="00485A03"/>
    <w:rsid w:val="007C5A27"/>
    <w:rsid w:val="080D13CD"/>
    <w:rsid w:val="09802C62"/>
    <w:rsid w:val="0C9F4D11"/>
    <w:rsid w:val="19141BD9"/>
    <w:rsid w:val="220034FD"/>
    <w:rsid w:val="2C77394A"/>
    <w:rsid w:val="356626F1"/>
    <w:rsid w:val="3ABD6790"/>
    <w:rsid w:val="3BC77903"/>
    <w:rsid w:val="42D8098D"/>
    <w:rsid w:val="43A30EAE"/>
    <w:rsid w:val="47281102"/>
    <w:rsid w:val="4FC825B5"/>
    <w:rsid w:val="5097652E"/>
    <w:rsid w:val="543B7FB9"/>
    <w:rsid w:val="611047D7"/>
    <w:rsid w:val="697A0823"/>
    <w:rsid w:val="6A4901E1"/>
    <w:rsid w:val="7C6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851</Words>
  <Characters>270</Characters>
  <Lines>2</Lines>
  <Paragraphs>2</Paragraphs>
  <TotalTime>0</TotalTime>
  <ScaleCrop>false</ScaleCrop>
  <LinksUpToDate>false</LinksUpToDate>
  <CharactersWithSpaces>1119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2020-07-30T07:17:00Z</dcterms:created>
  <dc:creator>姜喆</dc:creator>
  <cp:lastModifiedBy>411724</cp:lastModifiedBy>
  <cp:lastPrinted>2021-02-24T02:14:00Z</cp:lastPrinted>
  <dcterms:modified xsi:type="dcterms:W3CDTF">2021-03-03T06:58:28Z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