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 </w:t>
      </w:r>
      <w:r>
        <w:rPr>
          <w:rFonts w:hint="eastAsia" w:ascii="仿宋_GB2312" w:eastAsia="仿宋_GB2312"/>
          <w:sz w:val="32"/>
          <w:lang w:val="en-US" w:eastAsia="zh-CN"/>
        </w:rPr>
        <w:t>2021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9"/>
        <w:ind w:firstLineChars="0"/>
        <w:jc w:val="left"/>
      </w:pPr>
      <w:r>
        <w:rPr>
          <w:rFonts w:hint="eastAsia"/>
        </w:rPr>
        <w:t xml:space="preserve"> </w:t>
      </w: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tbl>
      <w:tblPr>
        <w:tblStyle w:val="8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“美丽客服”绿化改造工程服务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1.具有企业法人营业执照并具有完成本项目所需的经营范围；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2.具有企业法人资格证明或被授权人身份证明及法人授权委托书；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3.具有与本项目相关的行业资质与人员配备，高空作业的安装人员需具备高空作业资质；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年的财务报表；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5.未被列入全国失信被执行人名单，披露正在审理或执行完毕的标的金额大于500 万元人民币（含本数）的重大诉讼、仲裁、索赔、行政复议或行政处罚。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cy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cya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具有相关项目经验，并提供业绩证明。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1、项目概况</w:t>
            </w:r>
          </w:p>
          <w:p>
            <w:pPr>
              <w:spacing w:line="240" w:lineRule="auto"/>
              <w:ind w:firstLine="480" w:firstLineChars="200"/>
              <w:rPr>
                <w:rFonts w:ascii="仿宋" w:hAnsi="仿宋" w:eastAsia="仿宋_GB2312" w:cs="仿宋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工程位于上海市江川东路100号上海飞机客户服务有限公司内，占地188亩。此次绿化改造主要包括入口泰山石四季绿植更换和四季养护、园区翠湖景区周边灌木枯树清理和移植、重新铺灌木和地被和树木种植、休闲绿地以及绿色氧吧的草坪铺设和树木移栽种植等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、承包内容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本采购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竞争性谈判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文件及其附件范围内包树木、灌木地被、草坪等采购费、包工、包料、包质量、包利润、包税金、包种植安装、包工期、包安全文明环保、包措施费等。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工作内容：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hd w:val="clear" w:color="auto" w:fill="FFFFFF" w:themeFill="background1"/>
              </w:rPr>
              <w:t>施工图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(采购方提供的）为准。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3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质量标准：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一次性验收合格率必须达到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100%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，植物包含养护期2年、成活率100%。保修期(质保期)为2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个月。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、工程计价方式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供应商报价时报以本采购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竞争性谈判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件及附件范围全部内容包干的预计固定总价（最终支付的合同金额以竣工结算后的价格为准）。乙方为完成本合同而发生的所有费用均包含在预计固定总价内，除甲方指定工作范围发生变化外，甲方不再另行支付其它费用。提供的工程量清单仅供参考，各投标单位在现场踏勘基础上对工程量进行复核，所报价格包含完成施工图纸范围内所有工作，中标后图纸范围内工作总价不予调整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如在本工程施工过程中甲方增加新的工程子目，乙方应书面提出变更工程价款的报告，并提供相应的测算依据，经甲方书面确认后方可调整合同预计价款，调整的方法如下： 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A）合同中已有适用于变更工程的价格，按合同已有的价格计算变更合同价款；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B）合同中已有适用类似于变更工程的价格，按合同已有类似价格中的变更内容。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C) 合同中没有适用或类似变更工程的价格，双方可以补充约定，若双方无法达成一致意见的，变更价款按订立合同时类似变更工程的市场价格确定。</w:t>
            </w:r>
          </w:p>
          <w:p>
            <w:pPr>
              <w:widowControl w:val="0"/>
              <w:numPr>
                <w:ilvl w:val="0"/>
                <w:numId w:val="0"/>
              </w:numPr>
              <w:autoSpaceDN w:val="0"/>
              <w:spacing w:before="0" w:after="0" w:line="240" w:lineRule="auto"/>
              <w:ind w:left="0" w:right="0" w:firstLine="480" w:firstLineChars="200"/>
              <w:jc w:val="left"/>
              <w:textAlignment w:val="center"/>
              <w:rPr>
                <w:rFonts w:ascii="微软雅黑" w:hAnsi="微软雅黑" w:eastAsia="微软雅黑" w:cs="微软雅黑"/>
                <w:color w:val="00008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、报价文件编制要求：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报价单位需编制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施工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方案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；根据工程量清单条目进行报价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超出工程量清单范围的需做补充说明。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所有文件均需加盖公章。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全套报价书必须内容齐全，打印清晰，无涂改和行间插字。</w:t>
            </w:r>
          </w:p>
          <w:p>
            <w:pPr>
              <w:autoSpaceDN w:val="0"/>
              <w:spacing w:line="240" w:lineRule="auto"/>
              <w:ind w:firstLine="48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报价文件组成：报价文件由书面文件和相应的电子文件（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U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盘或者光盘）两部分组成。书面文件一式二份，电子文件需提供一份。书定代表人证明书、法人授权委托证明书、施工方案（施工组织设计、高空作业方案、施工安全保证措施、安全生产责任制及应急预案、文明施工保证措施、工期保证措施、工程质量保证措施等）、详细报价清单、企业营业执照（复印件加盖公章）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承诺书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施工单位对施工费用、工期、质量、安全等的承诺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格式自行设计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)。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报价文件均须加盖施工单位公章，并经施工单位法定代表人或其授权代表签名或盖章。由委托代理人签字、盖章的在征询报价书中须提交法定代表人签署的授权委托书。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auto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必须在提供报价文件前进行现场踏勘（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请和联系人预约时间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）。</w:t>
            </w:r>
          </w:p>
          <w:p>
            <w:pPr>
              <w:autoSpaceDN w:val="0"/>
              <w:spacing w:line="240" w:lineRule="auto"/>
              <w:jc w:val="left"/>
              <w:textAlignment w:val="center"/>
              <w:rPr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2.项目全部完成并验收合格后，在采购方收到供应商出具的与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工程结算总金额等额的增值税专用发票并确认有效性后的30个工作日内，支付到结算总金额的97%。采购方留存质保金3%，在质保期过后，无质量问题，付清质保金。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具体开工日期以甲方通知为准，通知之日起30日内完成，其他进度要求按照甲方要求。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  17：00之前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Chars="0"/>
        <w:jc w:val="left"/>
      </w:pPr>
    </w:p>
    <w:p>
      <w:pPr>
        <w:pStyle w:val="9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8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9"/>
        <w:ind w:firstLineChars="0"/>
        <w:jc w:val="left"/>
      </w:pPr>
    </w:p>
    <w:tbl>
      <w:tblPr>
        <w:tblStyle w:val="8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人民币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 改造方案详见施工图。</w:t>
      </w:r>
    </w:p>
    <w:p/>
    <w:p>
      <w:r>
        <w:rPr>
          <w:rFonts w:hint="eastAsia"/>
        </w:rPr>
        <w:t>附件2 美丽客服环境美化项目工程量清单</w:t>
      </w:r>
    </w:p>
    <w:tbl>
      <w:tblPr>
        <w:tblStyle w:val="8"/>
        <w:tblW w:w="89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0"/>
        <w:gridCol w:w="3106"/>
        <w:gridCol w:w="795"/>
        <w:gridCol w:w="840"/>
        <w:gridCol w:w="1651"/>
        <w:gridCol w:w="165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1" w:hRule="atLeast"/>
        </w:trPr>
        <w:tc>
          <w:tcPr>
            <w:tcW w:w="8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美丽客服环境美化项目工程量清单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工程名称：美丽客服环境美化项目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单价（单位：元）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eastAsia="zh-CN"/>
              </w:rPr>
              <w:t>合计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（单位：元）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二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0"/>
                <w:szCs w:val="20"/>
              </w:rPr>
              <w:t>绿化工程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（1）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乔木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造型油松 高度400-450 冠幅350-400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（2）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灌木地被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金边阔叶麦冬 高度20 冠幅15 64株/m2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180.00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毛鹃  高度25 冠幅15 64株/m2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289.00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金森女贞 高度30 冠幅25 49株/m2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160.00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麦冬 高度20 冠幅15 64株/m2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104.00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红叶石楠  高度30 冠幅15 49株/m2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197.00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海桐  高度45 冠幅30 49株/m2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36.00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草坪 满铺 百慕大追播黑麦草，沙培草皮卷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4451.00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绿地平整（含原有竹林、地被起挖清除）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5417.00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大乔木修剪零星人工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种植土回填 （100mm厚）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541.70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营养土 （50mm厚）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270.85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（3）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移植及植物清除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柽柳 移栽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桔树 移栽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环湖小灌木和杂草清除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150.00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岛上清除芦苇和杂草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（4）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沿湖道路两侧绿化修复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m2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</w:trPr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植物名牌（18*25cm）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0"/>
                <w:szCs w:val="20"/>
                <w:lang w:eastAsia="zh-CN"/>
              </w:rPr>
              <w:t>总价合计</w:t>
            </w:r>
          </w:p>
        </w:tc>
        <w:tc>
          <w:tcPr>
            <w:tcW w:w="4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17223"/>
    <w:rsid w:val="00023767"/>
    <w:rsid w:val="000422EC"/>
    <w:rsid w:val="0005300C"/>
    <w:rsid w:val="00056156"/>
    <w:rsid w:val="000C2530"/>
    <w:rsid w:val="000E7CA7"/>
    <w:rsid w:val="001669D3"/>
    <w:rsid w:val="0017051B"/>
    <w:rsid w:val="00190F0E"/>
    <w:rsid w:val="001F3F68"/>
    <w:rsid w:val="00206EC9"/>
    <w:rsid w:val="00207EEF"/>
    <w:rsid w:val="002153FC"/>
    <w:rsid w:val="002519C3"/>
    <w:rsid w:val="0026218B"/>
    <w:rsid w:val="002A1FB0"/>
    <w:rsid w:val="002E585A"/>
    <w:rsid w:val="002F3F09"/>
    <w:rsid w:val="0034666A"/>
    <w:rsid w:val="003A231F"/>
    <w:rsid w:val="003E0689"/>
    <w:rsid w:val="0040748B"/>
    <w:rsid w:val="004242D6"/>
    <w:rsid w:val="0044628C"/>
    <w:rsid w:val="0048501D"/>
    <w:rsid w:val="00494EB0"/>
    <w:rsid w:val="004D331B"/>
    <w:rsid w:val="00522601"/>
    <w:rsid w:val="0054076E"/>
    <w:rsid w:val="00542968"/>
    <w:rsid w:val="005D2415"/>
    <w:rsid w:val="005F2C94"/>
    <w:rsid w:val="005F760A"/>
    <w:rsid w:val="00602A31"/>
    <w:rsid w:val="00621227"/>
    <w:rsid w:val="00684131"/>
    <w:rsid w:val="00693D0B"/>
    <w:rsid w:val="006C2A75"/>
    <w:rsid w:val="006F3118"/>
    <w:rsid w:val="006F7848"/>
    <w:rsid w:val="00707531"/>
    <w:rsid w:val="0071576B"/>
    <w:rsid w:val="007301E6"/>
    <w:rsid w:val="007563D7"/>
    <w:rsid w:val="00817163"/>
    <w:rsid w:val="008911E9"/>
    <w:rsid w:val="00894C3B"/>
    <w:rsid w:val="008C544F"/>
    <w:rsid w:val="008D0066"/>
    <w:rsid w:val="008D4D92"/>
    <w:rsid w:val="008F48B9"/>
    <w:rsid w:val="00900CEB"/>
    <w:rsid w:val="00901FE0"/>
    <w:rsid w:val="00927170"/>
    <w:rsid w:val="0093088D"/>
    <w:rsid w:val="00942AA0"/>
    <w:rsid w:val="0094715E"/>
    <w:rsid w:val="00983461"/>
    <w:rsid w:val="00997B8D"/>
    <w:rsid w:val="009C031E"/>
    <w:rsid w:val="009E1CE5"/>
    <w:rsid w:val="009E1F29"/>
    <w:rsid w:val="00A35FC3"/>
    <w:rsid w:val="00AB29F5"/>
    <w:rsid w:val="00AB2ABA"/>
    <w:rsid w:val="00AC24DC"/>
    <w:rsid w:val="00AE63FD"/>
    <w:rsid w:val="00B146AD"/>
    <w:rsid w:val="00B76D51"/>
    <w:rsid w:val="00B92D19"/>
    <w:rsid w:val="00BA729D"/>
    <w:rsid w:val="00BC227D"/>
    <w:rsid w:val="00BE11E1"/>
    <w:rsid w:val="00BE34F6"/>
    <w:rsid w:val="00C026C3"/>
    <w:rsid w:val="00C52198"/>
    <w:rsid w:val="00C83B29"/>
    <w:rsid w:val="00CA228A"/>
    <w:rsid w:val="00CA762D"/>
    <w:rsid w:val="00CD72CD"/>
    <w:rsid w:val="00CE2EB4"/>
    <w:rsid w:val="00D14B66"/>
    <w:rsid w:val="00D2093E"/>
    <w:rsid w:val="00D65FD1"/>
    <w:rsid w:val="00D81392"/>
    <w:rsid w:val="00D82484"/>
    <w:rsid w:val="00D830C8"/>
    <w:rsid w:val="00DF29AC"/>
    <w:rsid w:val="00E104DA"/>
    <w:rsid w:val="00E45F5F"/>
    <w:rsid w:val="00ED0A59"/>
    <w:rsid w:val="00EE3898"/>
    <w:rsid w:val="00F56384"/>
    <w:rsid w:val="00F7372B"/>
    <w:rsid w:val="00FA2AD3"/>
    <w:rsid w:val="00FC2E45"/>
    <w:rsid w:val="00FF7E49"/>
    <w:rsid w:val="02294C39"/>
    <w:rsid w:val="02BF034B"/>
    <w:rsid w:val="04323FA7"/>
    <w:rsid w:val="06907798"/>
    <w:rsid w:val="0D7F58FA"/>
    <w:rsid w:val="0EC42DC1"/>
    <w:rsid w:val="124E1620"/>
    <w:rsid w:val="1657103A"/>
    <w:rsid w:val="17DC7947"/>
    <w:rsid w:val="21CC062F"/>
    <w:rsid w:val="356F4FC0"/>
    <w:rsid w:val="35DF75FE"/>
    <w:rsid w:val="3CE473CA"/>
    <w:rsid w:val="40941497"/>
    <w:rsid w:val="414A7342"/>
    <w:rsid w:val="4325023B"/>
    <w:rsid w:val="457A5B4F"/>
    <w:rsid w:val="49B14CBB"/>
    <w:rsid w:val="4A6A04C6"/>
    <w:rsid w:val="55585718"/>
    <w:rsid w:val="57C123CD"/>
    <w:rsid w:val="617B4318"/>
    <w:rsid w:val="643440CE"/>
    <w:rsid w:val="665F366E"/>
    <w:rsid w:val="66FB0794"/>
    <w:rsid w:val="68CB34EC"/>
    <w:rsid w:val="69F031AD"/>
    <w:rsid w:val="6B7C5852"/>
    <w:rsid w:val="6BBA203E"/>
    <w:rsid w:val="6CBF1F59"/>
    <w:rsid w:val="6D9141F0"/>
    <w:rsid w:val="6ED44082"/>
    <w:rsid w:val="6FAC0732"/>
    <w:rsid w:val="73E04FF3"/>
    <w:rsid w:val="75F17CAE"/>
    <w:rsid w:val="792E6941"/>
    <w:rsid w:val="7CAF2CEC"/>
    <w:rsid w:val="7E2360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字符"/>
    <w:basedOn w:val="6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6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批注框文本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4">
    <w:name w:val="font1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495</Words>
  <Characters>2824</Characters>
  <Lines>23</Lines>
  <Paragraphs>6</Paragraphs>
  <TotalTime>17</TotalTime>
  <ScaleCrop>false</ScaleCrop>
  <LinksUpToDate>false</LinksUpToDate>
  <CharactersWithSpaces>3313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2021-04-14T09:02:00Z</dcterms:created>
  <dc:creator>411556</dc:creator>
  <cp:lastModifiedBy>430046</cp:lastModifiedBy>
  <dcterms:modified xsi:type="dcterms:W3CDTF">2021-04-28T06:57:02Z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