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center"/>
        <w:rPr>
          <w:rFonts w:hint="eastAsia" w:ascii="黑体" w:eastAsia="黑体"/>
          <w:sz w:val="28"/>
          <w:szCs w:val="28"/>
        </w:rPr>
      </w:pPr>
    </w:p>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bookmarkStart w:id="0" w:name="_GoBack"/>
      <w:bookmarkEnd w:id="0"/>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6</w:t>
      </w:r>
      <w:r>
        <w:rPr>
          <w:rFonts w:hint="eastAsia" w:ascii="仿宋_GB2312" w:eastAsia="仿宋_GB2312"/>
          <w:sz w:val="32"/>
        </w:rPr>
        <w:t>月</w:t>
      </w:r>
      <w:r>
        <w:rPr>
          <w:rFonts w:hint="eastAsia" w:ascii="仿宋_GB2312" w:eastAsia="仿宋_GB2312"/>
          <w:sz w:val="32"/>
          <w:lang w:val="en-US" w:eastAsia="zh-CN"/>
        </w:rPr>
        <w:t>24</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陈碧峰</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18019195595</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chenbifeng@comac.cc</w:t>
            </w:r>
          </w:p>
        </w:tc>
      </w:tr>
      <w:tr>
        <w:tblPrEx>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印尼海外派驻人员安全咨询服务</w:t>
            </w:r>
          </w:p>
        </w:tc>
      </w:tr>
      <w:tr>
        <w:tblPrEx>
          <w:tblCellMar>
            <w:top w:w="0" w:type="dxa"/>
            <w:left w:w="108" w:type="dxa"/>
            <w:bottom w:w="0" w:type="dxa"/>
            <w:right w:w="108" w:type="dxa"/>
          </w:tblCellMar>
        </w:tblPrEx>
        <w:trPr>
          <w:trHeight w:val="277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供应商应具备境外安全风险评估、商务咨询、安全技术防范、技术咨询、技术服务等资质要求，并提供相应证明文件；</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供应商具备独立法人资格，注册资金5000万以上；</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在签署本项目合同及履行本项目义务时无任何法律障碍和重大事件影响供应商继续正常存续和全面履行本项目合同的能力，包括但不限于重大诉讼案件、重大债权债务纠纷；</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经审计的近三年的年度财务报表；</w:t>
            </w:r>
          </w:p>
          <w:p>
            <w:pPr>
              <w:numPr>
                <w:ilvl w:val="-1"/>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5.年以内有包含不少于1家国有企业成功海外安全项目服务案例。</w:t>
            </w:r>
          </w:p>
          <w:p>
            <w:pPr>
              <w:numPr>
                <w:ilvl w:val="-1"/>
                <w:numId w:val="0"/>
              </w:numPr>
              <w:autoSpaceDN w:val="0"/>
              <w:spacing w:line="280" w:lineRule="exact"/>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6.未满足要求（资质、能力、技术）的文件视为废标文件。</w:t>
            </w:r>
          </w:p>
        </w:tc>
      </w:tr>
      <w:tr>
        <w:tblPrEx>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ind w:leftChars="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供应商具有对境外进行安全风险评估、安全技术防范等能力；</w:t>
            </w:r>
          </w:p>
          <w:p>
            <w:pPr>
              <w:numPr>
                <w:ilvl w:val="0"/>
                <w:numId w:val="2"/>
              </w:numPr>
              <w:autoSpaceDN w:val="0"/>
              <w:spacing w:line="280" w:lineRule="exact"/>
              <w:ind w:left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供应商在本项目所涉及领域具有丰富经验并提供相应证明。</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200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提供对境外派驻人员进行相关安全咨询服务包括但不限于目标地区社会情况介绍、宗教文化介绍、自然环境介绍、目标地潜在风险源分析、日常场景安全注意事项SOP、消防安全咨询服务、暴力事件分类及应对、卫生急救知识及演练、应急事件处置演练、差旅安全风险应对、心理状态评估等；</w:t>
            </w:r>
          </w:p>
          <w:p>
            <w:pPr>
              <w:numPr>
                <w:ilvl w:val="0"/>
                <w:numId w:val="0"/>
              </w:numPr>
              <w:autoSpaceDN w:val="0"/>
              <w:spacing w:line="280" w:lineRule="exact"/>
              <w:jc w:val="both"/>
              <w:textAlignment w:val="center"/>
              <w:rPr>
                <w:rFonts w:hint="eastAsia" w:ascii="仿宋_GB2312" w:hAnsi="宋体" w:eastAsia="仿宋_GB2312" w:cs="宋体"/>
                <w:color w:val="000000"/>
                <w:kern w:val="0"/>
                <w:sz w:val="24"/>
                <w:lang w:val="en-US" w:eastAsia="zh-CN"/>
              </w:rPr>
            </w:pPr>
          </w:p>
        </w:tc>
      </w:tr>
      <w:tr>
        <w:tblPrEx>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合同签订生效后14天内完成所有安全咨询服务</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29</w:t>
            </w:r>
            <w:r>
              <w:rPr>
                <w:rFonts w:hint="eastAsia" w:ascii="仿宋_GB2312" w:hAnsi="宋体" w:eastAsia="仿宋_GB2312" w:cs="宋体"/>
                <w:color w:val="000000"/>
                <w:kern w:val="0"/>
                <w:sz w:val="24"/>
              </w:rPr>
              <w:t>日　</w:t>
            </w:r>
            <w:r>
              <w:rPr>
                <w:rFonts w:hint="eastAsia" w:ascii="仿宋_GB2312" w:hAnsi="宋体" w:eastAsia="仿宋_GB2312" w:cs="宋体"/>
                <w:color w:val="000000"/>
                <w:kern w:val="0"/>
                <w:sz w:val="24"/>
                <w:lang w:val="en-US" w:eastAsia="zh-CN"/>
              </w:rPr>
              <w:t>12:00</w:t>
            </w:r>
          </w:p>
        </w:tc>
      </w:tr>
      <w:tr>
        <w:tblPrEx>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7"/>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7"/>
        <w:ind w:firstLineChars="0"/>
        <w:jc w:val="left"/>
      </w:pPr>
    </w:p>
    <w:p>
      <w:r>
        <w:br w:type="page"/>
      </w:r>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rPr>
          <w:rFonts w:hint="eastAsia"/>
        </w:rPr>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Chars="0"/>
        <w:jc w:val="left"/>
      </w:pPr>
    </w:p>
    <w:p>
      <w:pPr>
        <w:widowControl/>
        <w:jc w:val="center"/>
        <w:rPr>
          <w:rFonts w:ascii="黑体" w:hAnsi="黑体" w:eastAsia="黑体" w:cs="黑体"/>
          <w:kern w:val="0"/>
          <w:sz w:val="28"/>
          <w:szCs w:val="64"/>
        </w:rPr>
      </w:pPr>
    </w:p>
    <w:p>
      <w:pPr>
        <w:widowControl/>
        <w:jc w:val="center"/>
        <w:rPr>
          <w:rFonts w:ascii="黑体" w:hAnsi="黑体" w:eastAsia="黑体" w:cs="黑体"/>
          <w:kern w:val="0"/>
          <w:sz w:val="28"/>
          <w:szCs w:val="64"/>
        </w:rPr>
      </w:pPr>
    </w:p>
    <w:p>
      <w:pPr>
        <w:widowControl/>
        <w:jc w:val="center"/>
        <w:rPr>
          <w:rFonts w:ascii="黑体" w:hAnsi="黑体" w:eastAsia="黑体" w:cs="黑体"/>
          <w:kern w:val="0"/>
          <w:sz w:val="28"/>
          <w:szCs w:val="64"/>
        </w:rPr>
      </w:pPr>
    </w:p>
    <w:p>
      <w:pPr>
        <w:widowControl/>
        <w:jc w:val="both"/>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附件一：人员安全咨询服务报价清单</w:t>
      </w: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65"/>
        <w:gridCol w:w="2449"/>
        <w:gridCol w:w="863"/>
        <w:gridCol w:w="1087"/>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服务名称</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服务内容</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单位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预估人数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人员安全咨询服务</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目标地区社会情况介绍</w:t>
            </w:r>
          </w:p>
        </w:tc>
        <w:tc>
          <w:tcPr>
            <w:tcW w:w="8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每人</w:t>
            </w:r>
          </w:p>
        </w:tc>
        <w:tc>
          <w:tcPr>
            <w:tcW w:w="10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16</w:t>
            </w:r>
          </w:p>
        </w:tc>
        <w:tc>
          <w:tcPr>
            <w:tcW w:w="187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宗教文化介绍</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自然环境介绍</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目标地潜在风险源分析</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日常场景安全注意事项SOP</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消防安全咨询服务</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暴力事件分类及应对</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卫生急救知识及演练</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应急事件处置演练</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差旅安全风险应对</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0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心理状态评估</w:t>
            </w:r>
          </w:p>
        </w:tc>
        <w:tc>
          <w:tcPr>
            <w:tcW w:w="86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bl>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要求报最终结算价（含交通费、餐费、税费等一切相关费用）；</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要求合同签署完毕后14日历日完成所有咨询服务；</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开具增值税专用发票；</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报价文件加盖公章；</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付款方式：完成所有安全咨询服务及收到相关咨询报告并确认无误后，凭对方开具合同总金额100%的有效增值税专用发票后45日历日内支付；</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8"/>
          <w:szCs w:val="64"/>
          <w:lang w:val="en-US" w:eastAsia="zh-CN"/>
        </w:rPr>
      </w:pPr>
      <w:r>
        <w:rPr>
          <w:rFonts w:hint="eastAsia" w:ascii="黑体" w:hAnsi="黑体" w:eastAsia="黑体" w:cs="黑体"/>
          <w:kern w:val="0"/>
          <w:sz w:val="24"/>
          <w:szCs w:val="24"/>
          <w:lang w:val="en-US" w:eastAsia="zh-CN"/>
        </w:rPr>
        <w:t>纸质报价文件盖章后密封送达采购联系人，内含盖章版电子扫描件（U盘或光盘）。</w:t>
      </w:r>
    </w:p>
    <w:p>
      <w:pPr>
        <w:widowControl/>
        <w:jc w:val="center"/>
        <w:rPr>
          <w:rFonts w:ascii="黑体" w:hAnsi="黑体" w:eastAsia="黑体" w:cs="黑体"/>
          <w:kern w:val="0"/>
          <w:sz w:val="28"/>
          <w:szCs w:val="64"/>
        </w:rPr>
      </w:pPr>
    </w:p>
    <w:p>
      <w:pPr>
        <w:widowControl/>
        <w:jc w:val="center"/>
        <w:rPr>
          <w:rFonts w:ascii="黑体" w:hAnsi="黑体" w:eastAsia="黑体" w:cs="黑体"/>
          <w:kern w:val="0"/>
          <w:sz w:val="28"/>
          <w:szCs w:val="64"/>
        </w:rPr>
      </w:pPr>
    </w:p>
    <w:p>
      <w:pPr>
        <w:widowControl/>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EBB82"/>
    <w:multiLevelType w:val="singleLevel"/>
    <w:tmpl w:val="CDBEBB82"/>
    <w:lvl w:ilvl="0" w:tentative="0">
      <w:start w:val="1"/>
      <w:numFmt w:val="decimal"/>
      <w:lvlText w:val="%1."/>
      <w:lvlJc w:val="left"/>
      <w:pPr>
        <w:tabs>
          <w:tab w:val="left" w:pos="312"/>
        </w:tabs>
      </w:pPr>
    </w:lvl>
  </w:abstractNum>
  <w:abstractNum w:abstractNumId="1">
    <w:nsid w:val="CF4A0B2C"/>
    <w:multiLevelType w:val="singleLevel"/>
    <w:tmpl w:val="CF4A0B2C"/>
    <w:lvl w:ilvl="0" w:tentative="0">
      <w:start w:val="1"/>
      <w:numFmt w:val="decimal"/>
      <w:lvlText w:val="%1."/>
      <w:lvlJc w:val="left"/>
      <w:pPr>
        <w:tabs>
          <w:tab w:val="left" w:pos="312"/>
        </w:tabs>
      </w:pPr>
    </w:lvl>
  </w:abstractNum>
  <w:abstractNum w:abstractNumId="2">
    <w:nsid w:val="05C6F4EE"/>
    <w:multiLevelType w:val="singleLevel"/>
    <w:tmpl w:val="05C6F4EE"/>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5E21483"/>
    <w:rsid w:val="09B81FBF"/>
    <w:rsid w:val="0D8F26D1"/>
    <w:rsid w:val="137440D9"/>
    <w:rsid w:val="19284C99"/>
    <w:rsid w:val="23156DA1"/>
    <w:rsid w:val="295D5C88"/>
    <w:rsid w:val="356626F1"/>
    <w:rsid w:val="3D7A5B60"/>
    <w:rsid w:val="3F7C2C50"/>
    <w:rsid w:val="43C41CB2"/>
    <w:rsid w:val="46E1775C"/>
    <w:rsid w:val="4F0D6B96"/>
    <w:rsid w:val="559778A9"/>
    <w:rsid w:val="560448CD"/>
    <w:rsid w:val="581A192B"/>
    <w:rsid w:val="61D1047B"/>
    <w:rsid w:val="6CE102B4"/>
    <w:rsid w:val="74BD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Seldommmmm</cp:lastModifiedBy>
  <dcterms:modified xsi:type="dcterms:W3CDTF">2021-06-24T01:41:49Z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7229E90A823C47148F4BCD79A033A0C9</vt:lpwstr>
  </property>
</Properties>
</file>