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color w:val="0000FF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</w:t>
      </w:r>
      <w:r>
        <w:rPr>
          <w:rFonts w:hint="eastAsia" w:ascii="仿宋_GB2312" w:eastAsia="仿宋_GB2312"/>
          <w:color w:val="0000FF"/>
          <w:sz w:val="32"/>
          <w:lang w:val="en-US" w:eastAsia="zh-CN"/>
        </w:rPr>
        <w:t>2021</w:t>
      </w:r>
      <w:r>
        <w:rPr>
          <w:rFonts w:hint="eastAsia" w:ascii="仿宋_GB2312" w:eastAsia="仿宋_GB2312"/>
          <w:color w:val="0000FF"/>
          <w:sz w:val="32"/>
        </w:rPr>
        <w:t xml:space="preserve">年 </w:t>
      </w:r>
      <w:r>
        <w:rPr>
          <w:rFonts w:hint="eastAsia" w:ascii="仿宋_GB2312" w:eastAsia="仿宋_GB2312"/>
          <w:color w:val="0000FF"/>
          <w:sz w:val="32"/>
          <w:lang w:val="en-US" w:eastAsia="zh-CN"/>
        </w:rPr>
        <w:t>07</w:t>
      </w:r>
      <w:r>
        <w:rPr>
          <w:rFonts w:hint="eastAsia" w:ascii="仿宋_GB2312" w:eastAsia="仿宋_GB2312"/>
          <w:color w:val="0000FF"/>
          <w:sz w:val="32"/>
        </w:rPr>
        <w:t xml:space="preserve">月 </w:t>
      </w:r>
      <w:r>
        <w:rPr>
          <w:rFonts w:hint="eastAsia" w:ascii="仿宋_GB2312" w:eastAsia="仿宋_GB2312"/>
          <w:color w:val="0000FF"/>
          <w:sz w:val="32"/>
          <w:lang w:val="en-US" w:eastAsia="zh-CN"/>
        </w:rPr>
        <w:t>21</w:t>
      </w:r>
      <w:r>
        <w:rPr>
          <w:rFonts w:hint="eastAsia" w:ascii="仿宋_GB2312" w:eastAsia="仿宋_GB2312"/>
          <w:color w:val="0000FF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  <w:r>
        <w:br w:type="page"/>
      </w:r>
    </w:p>
    <w:tbl>
      <w:tblPr>
        <w:tblStyle w:val="6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3"/>
        <w:gridCol w:w="1833"/>
        <w:gridCol w:w="716"/>
        <w:gridCol w:w="550"/>
        <w:gridCol w:w="792"/>
        <w:gridCol w:w="1588"/>
        <w:gridCol w:w="1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陈碧峰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18019195595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chenbifeng@comac.cc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  <w:t>关于航线维修长短袖工装衬衫套装的采购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报价人应具备独立法人资格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  <w:t>具有独立承担民事责任的能力；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  <w:t>具有良好的商业信誉和健全的财会制度；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  <w:t>具有依法缴纳税收和社会保障资金的良好记录；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  <w:t>参与本次采购活动前三年内，在经营活动中没有重大违法记录。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上海飞机客户服务有限公司在职员工以及直系亲属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eastAsia="zh-CN"/>
              </w:rPr>
              <w:t>所供职的供应商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，不得参与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  <w:t>有独立的生产厂房、人员及设备，具备良好的生产管理体系和加工生产能力。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lang w:val="en-US" w:eastAsia="zh-CN"/>
              </w:rPr>
              <w:t>1、产品质量标准符合：GB/T18401-2010《国家纺织产品基本安全技术规范》、FZ/T81007-2012《单、夹服装》纺织行业标准；</w:t>
            </w:r>
          </w:p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 w:val="0"/>
                <w:color w:val="0000FF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FF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FF"/>
                <w:sz w:val="24"/>
                <w:szCs w:val="24"/>
                <w:highlight w:val="none"/>
              </w:rPr>
              <w:t>提供由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FF"/>
                <w:sz w:val="24"/>
                <w:szCs w:val="24"/>
                <w:highlight w:val="none"/>
                <w:lang w:eastAsia="zh-CN"/>
              </w:rPr>
              <w:t>国家认证的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FF"/>
                <w:sz w:val="24"/>
                <w:szCs w:val="24"/>
                <w:highlight w:val="none"/>
              </w:rPr>
              <w:t>第三方检测机构所出具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FF"/>
                <w:sz w:val="24"/>
                <w:szCs w:val="24"/>
                <w:highlight w:val="none"/>
                <w:lang w:eastAsia="zh-CN"/>
              </w:rPr>
              <w:t>生产服装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FF"/>
                <w:sz w:val="24"/>
                <w:szCs w:val="24"/>
                <w:highlight w:val="none"/>
              </w:rPr>
              <w:t>面料的有效检测报告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0000FF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  <w:t>3、成品国标一等品，服装不产生静电，配件纽扣和拉链等牢固不易脱落。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FF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lang w:val="en-US" w:eastAsia="zh-CN"/>
              </w:rPr>
              <w:t>合同签订生效后30日交付。</w:t>
            </w: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1440" w:firstLineChars="6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  <w:highlight w:val="black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7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注：明确技术标准和要求，不限定或指定唯一品牌，在引用品牌或生产供应商名称前加</w:t>
      </w:r>
      <w:bookmarkStart w:id="1" w:name="_GoBack"/>
      <w:bookmarkEnd w:id="1"/>
      <w:r>
        <w:rPr>
          <w:rFonts w:hint="eastAsia" w:ascii="仿宋_GB2312" w:eastAsia="仿宋_GB2312" w:cs="宋体"/>
          <w:color w:val="000000"/>
          <w:kern w:val="0"/>
          <w:sz w:val="22"/>
          <w:szCs w:val="22"/>
        </w:rPr>
        <w:t>上“参照”或“相当于”字样，确保品牌的市场可选择性。</w:t>
      </w:r>
    </w:p>
    <w:p>
      <w:pPr>
        <w:pStyle w:val="7"/>
        <w:ind w:firstLineChars="0"/>
        <w:jc w:val="left"/>
      </w:pPr>
    </w:p>
    <w:p>
      <w:r>
        <w:br w:type="page"/>
      </w:r>
    </w:p>
    <w:tbl>
      <w:tblPr>
        <w:tblStyle w:val="6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7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  <w:rPr>
          <w:rFonts w:hint="eastAsia"/>
        </w:rPr>
      </w:pP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7"/>
        <w:ind w:firstLineChars="0"/>
        <w:jc w:val="left"/>
      </w:pPr>
    </w:p>
    <w:p>
      <w:pPr>
        <w:widowControl/>
        <w:jc w:val="center"/>
        <w:rPr>
          <w:sz w:val="24"/>
        </w:rPr>
      </w:pPr>
      <w:r>
        <w:rPr>
          <w:rFonts w:ascii="黑体" w:hAnsi="黑体" w:eastAsia="黑体" w:cs="黑体"/>
          <w:kern w:val="0"/>
          <w:sz w:val="28"/>
          <w:szCs w:val="64"/>
        </w:rPr>
        <w:br w:type="page"/>
      </w:r>
      <w:bookmarkStart w:id="0" w:name="_Toc4176"/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</w:rPr>
        <w:t>竞争性谈判/询价文件填表说明</w:t>
      </w:r>
      <w:bookmarkEnd w:id="0"/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采购实施部门联系人/联系电话/E-mail</w:t>
      </w:r>
      <w:r>
        <w:rPr>
          <w:rFonts w:hint="eastAsia"/>
          <w:sz w:val="24"/>
        </w:rPr>
        <w:t>：由采购实施部门经办人填写。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项目名称</w:t>
      </w:r>
      <w:r>
        <w:rPr>
          <w:rFonts w:hint="eastAsia"/>
          <w:sz w:val="24"/>
        </w:rPr>
        <w:t>：由编制人填写。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供应商资质要求</w:t>
      </w:r>
      <w:r>
        <w:rPr>
          <w:rFonts w:hint="eastAsia"/>
          <w:sz w:val="24"/>
        </w:rPr>
        <w:t>：由编制人填写。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供应商能力要求</w:t>
      </w:r>
      <w:r>
        <w:rPr>
          <w:rFonts w:hint="eastAsia"/>
          <w:sz w:val="24"/>
        </w:rPr>
        <w:t>：由编制人填写。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项目技术要求</w:t>
      </w:r>
      <w:r>
        <w:rPr>
          <w:rFonts w:hint="eastAsia"/>
          <w:sz w:val="24"/>
        </w:rPr>
        <w:t>：由编制人填写。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项目进度要求</w:t>
      </w:r>
      <w:r>
        <w:rPr>
          <w:rFonts w:hint="eastAsia"/>
          <w:sz w:val="24"/>
        </w:rPr>
        <w:t>：由编制人填写。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响应文件送达截止时间</w:t>
      </w:r>
      <w:r>
        <w:rPr>
          <w:rFonts w:hint="eastAsia"/>
          <w:sz w:val="24"/>
        </w:rPr>
        <w:t>：由采购实施部门经办人填写。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>
        <w:rPr>
          <w:rFonts w:hint="eastAsia"/>
          <w:b/>
          <w:sz w:val="24"/>
        </w:rPr>
        <w:t>附录</w:t>
      </w:r>
      <w:r>
        <w:rPr>
          <w:rFonts w:hint="eastAsia"/>
          <w:sz w:val="24"/>
        </w:rPr>
        <w:t>：由编制人勾选。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8F3A"/>
    <w:multiLevelType w:val="singleLevel"/>
    <w:tmpl w:val="43668F3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B89250C"/>
    <w:multiLevelType w:val="multilevel"/>
    <w:tmpl w:val="6B89250C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626F1"/>
    <w:rsid w:val="0BEB4FF9"/>
    <w:rsid w:val="0D8F26D1"/>
    <w:rsid w:val="0E4D49DB"/>
    <w:rsid w:val="10071A0C"/>
    <w:rsid w:val="133B1042"/>
    <w:rsid w:val="18F441E5"/>
    <w:rsid w:val="220E540A"/>
    <w:rsid w:val="23254367"/>
    <w:rsid w:val="29EB517E"/>
    <w:rsid w:val="2EA870A2"/>
    <w:rsid w:val="356626F1"/>
    <w:rsid w:val="374D7399"/>
    <w:rsid w:val="3A845F67"/>
    <w:rsid w:val="3D4422E9"/>
    <w:rsid w:val="3DDA2785"/>
    <w:rsid w:val="3F7C2C50"/>
    <w:rsid w:val="46A81BE2"/>
    <w:rsid w:val="4B29784F"/>
    <w:rsid w:val="4C965D00"/>
    <w:rsid w:val="55D80AD1"/>
    <w:rsid w:val="598C79F4"/>
    <w:rsid w:val="5B0F429E"/>
    <w:rsid w:val="5BE12E9F"/>
    <w:rsid w:val="5E212E3D"/>
    <w:rsid w:val="5E683B87"/>
    <w:rsid w:val="60D774BF"/>
    <w:rsid w:val="67D25A69"/>
    <w:rsid w:val="6E4E4D48"/>
    <w:rsid w:val="7C2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2020-07-30T07:17:00Z</dcterms:created>
  <dc:creator>姜喆</dc:creator>
  <cp:lastModifiedBy>1</cp:lastModifiedBy>
  <dcterms:modified xsi:type="dcterms:W3CDTF">2021-07-21T02:08:33Z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