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eastAsia="楷体_GB2312" w:cs="Calibri"/>
          <w:b/>
          <w:sz w:val="24"/>
          <w:szCs w:val="24"/>
        </w:rPr>
      </w:pPr>
      <w:bookmarkStart w:id="0" w:name="_Toc246997081"/>
      <w:bookmarkStart w:id="1" w:name="_Toc247514197"/>
      <w:bookmarkStart w:id="2" w:name="_Toc144974578"/>
      <w:bookmarkStart w:id="3" w:name="_Toc144974829"/>
      <w:bookmarkStart w:id="4" w:name="_Toc247085853"/>
      <w:bookmarkStart w:id="5" w:name="_Toc247527798"/>
      <w:bookmarkStart w:id="6" w:name="_Toc184635122"/>
      <w:bookmarkStart w:id="7" w:name="_Toc152045610"/>
      <w:bookmarkStart w:id="8" w:name="_Toc152042388"/>
      <w:bookmarkStart w:id="9" w:name="_Toc179632787"/>
      <w:bookmarkStart w:id="10" w:name="_Toc246996338"/>
      <w:bookmarkStart w:id="11" w:name="_Toc152042549"/>
      <w:bookmarkStart w:id="12" w:name="_Toc300835199"/>
      <w:r>
        <w:rPr>
          <w:rFonts w:hint="eastAsia" w:eastAsia="楷体_GB2312" w:cs="Calibri"/>
          <w:b/>
          <w:sz w:val="24"/>
          <w:szCs w:val="24"/>
        </w:rPr>
        <w:t>附件一：航材国际快递</w:t>
      </w:r>
      <w:r>
        <w:rPr>
          <w:rFonts w:hint="eastAsia" w:eastAsia="楷体_GB2312" w:cs="Calibri"/>
          <w:b/>
          <w:sz w:val="24"/>
          <w:szCs w:val="24"/>
          <w:lang w:eastAsia="zh-CN"/>
        </w:rPr>
        <w:t>运输</w:t>
      </w:r>
      <w:r>
        <w:rPr>
          <w:rFonts w:hint="eastAsia" w:eastAsia="楷体_GB2312" w:cs="Calibri"/>
          <w:b/>
          <w:sz w:val="24"/>
          <w:szCs w:val="24"/>
        </w:rPr>
        <w:t>服务合同条款及格式</w:t>
      </w:r>
    </w:p>
    <w:p>
      <w:pPr>
        <w:jc w:val="center"/>
        <w:rPr>
          <w:rFonts w:eastAsia="楷体_GB2312" w:cs="Calibri"/>
          <w:b/>
          <w:sz w:val="52"/>
        </w:rPr>
      </w:pPr>
    </w:p>
    <w:p>
      <w:pPr>
        <w:jc w:val="center"/>
        <w:rPr>
          <w:rFonts w:eastAsia="楷体_GB2312" w:cs="Calibri"/>
          <w:b/>
          <w:sz w:val="52"/>
        </w:rPr>
      </w:pPr>
    </w:p>
    <w:p>
      <w:pPr>
        <w:jc w:val="center"/>
        <w:rPr>
          <w:rFonts w:cs="Calibri"/>
        </w:rPr>
      </w:pPr>
      <w:r>
        <w:rPr>
          <w:rFonts w:eastAsia="楷体_GB2312" w:cs="Calibri"/>
          <w:b/>
          <w:sz w:val="52"/>
        </w:rPr>
        <w:t>航材国际快递</w:t>
      </w:r>
      <w:r>
        <w:rPr>
          <w:rFonts w:hint="eastAsia" w:eastAsia="楷体_GB2312" w:cs="Calibri"/>
          <w:b/>
          <w:sz w:val="52"/>
          <w:lang w:eastAsia="zh-CN"/>
        </w:rPr>
        <w:t>运输</w:t>
      </w:r>
      <w:r>
        <w:rPr>
          <w:rFonts w:eastAsia="楷体_GB2312" w:cs="Calibri"/>
          <w:b/>
          <w:sz w:val="52"/>
        </w:rPr>
        <w:t>服务合同</w:t>
      </w:r>
    </w:p>
    <w:p>
      <w:pPr>
        <w:rPr>
          <w:rFonts w:eastAsia="楷体_GB2312" w:cs="Calibri"/>
          <w:sz w:val="36"/>
        </w:rPr>
      </w:pPr>
    </w:p>
    <w:p>
      <w:pPr>
        <w:rPr>
          <w:rFonts w:eastAsia="楷体_GB2312" w:cs="Calibri"/>
          <w:sz w:val="36"/>
        </w:rPr>
      </w:pPr>
    </w:p>
    <w:p>
      <w:pPr>
        <w:rPr>
          <w:rFonts w:eastAsia="楷体_GB2312" w:cs="Calibri"/>
          <w:sz w:val="36"/>
        </w:rPr>
      </w:pPr>
    </w:p>
    <w:p>
      <w:pPr>
        <w:rPr>
          <w:rFonts w:eastAsia="楷体_GB2312" w:cs="Calibri"/>
          <w:sz w:val="36"/>
        </w:rPr>
      </w:pPr>
    </w:p>
    <w:p>
      <w:pPr>
        <w:rPr>
          <w:rFonts w:eastAsia="楷体_GB2312" w:cs="Calibri"/>
          <w:sz w:val="36"/>
        </w:rPr>
      </w:pPr>
    </w:p>
    <w:p>
      <w:pPr>
        <w:spacing w:line="360" w:lineRule="auto"/>
        <w:jc w:val="center"/>
        <w:rPr>
          <w:rFonts w:eastAsia="楷体_GB2312" w:cs="Calibri"/>
          <w:b/>
          <w:sz w:val="28"/>
        </w:rPr>
      </w:pPr>
    </w:p>
    <w:p>
      <w:pPr>
        <w:spacing w:line="360" w:lineRule="auto"/>
        <w:ind w:firstLine="981" w:firstLineChars="349"/>
        <w:rPr>
          <w:rFonts w:eastAsia="楷体_GB2312" w:cs="Calibri"/>
          <w:b/>
          <w:sz w:val="28"/>
          <w:u w:val="single"/>
        </w:rPr>
      </w:pPr>
      <w:r>
        <w:rPr>
          <w:rFonts w:eastAsia="楷体_GB2312" w:cs="Calibri"/>
          <w:b/>
          <w:sz w:val="28"/>
        </w:rPr>
        <w:t>合同编号：</w:t>
      </w:r>
    </w:p>
    <w:p>
      <w:pPr>
        <w:spacing w:line="360" w:lineRule="auto"/>
        <w:ind w:firstLine="981" w:firstLineChars="349"/>
        <w:rPr>
          <w:rFonts w:eastAsia="楷体_GB2312" w:cs="Calibri"/>
          <w:b/>
          <w:sz w:val="28"/>
        </w:rPr>
      </w:pPr>
      <w:r>
        <w:rPr>
          <w:rFonts w:eastAsia="楷体_GB2312" w:cs="Calibri"/>
          <w:b/>
          <w:sz w:val="28"/>
        </w:rPr>
        <w:t>甲    方：</w:t>
      </w:r>
      <w:r>
        <w:rPr>
          <w:rFonts w:eastAsia="楷体_GB2312" w:cs="Calibri"/>
          <w:b/>
          <w:sz w:val="28"/>
          <w:u w:val="single"/>
        </w:rPr>
        <w:t>上海飞机客户服务有限公司</w:t>
      </w:r>
    </w:p>
    <w:p>
      <w:pPr>
        <w:spacing w:line="360" w:lineRule="auto"/>
        <w:ind w:firstLine="981" w:firstLineChars="349"/>
        <w:rPr>
          <w:rFonts w:eastAsia="楷体_GB2312" w:cs="Calibri"/>
          <w:b/>
          <w:sz w:val="28"/>
        </w:rPr>
      </w:pPr>
      <w:r>
        <w:rPr>
          <w:rFonts w:eastAsia="楷体_GB2312" w:cs="Calibri"/>
          <w:b/>
          <w:sz w:val="28"/>
        </w:rPr>
        <w:t>乙    方：</w:t>
      </w:r>
    </w:p>
    <w:p>
      <w:pPr>
        <w:spacing w:line="360" w:lineRule="auto"/>
        <w:ind w:firstLine="981" w:firstLineChars="349"/>
        <w:rPr>
          <w:rFonts w:eastAsia="楷体_GB2312" w:cs="Calibri"/>
          <w:b/>
          <w:sz w:val="28"/>
        </w:rPr>
      </w:pPr>
      <w:r>
        <w:rPr>
          <w:rFonts w:eastAsia="楷体_GB2312" w:cs="Calibri"/>
          <w:b/>
          <w:sz w:val="28"/>
        </w:rPr>
        <w:t>签约时间：</w:t>
      </w:r>
    </w:p>
    <w:p>
      <w:pPr>
        <w:spacing w:line="360" w:lineRule="auto"/>
        <w:ind w:firstLine="981" w:firstLineChars="349"/>
        <w:rPr>
          <w:rFonts w:eastAsia="楷体_GB2312" w:cs="Calibri"/>
          <w:b/>
          <w:color w:val="000000"/>
        </w:rPr>
      </w:pPr>
      <w:r>
        <w:rPr>
          <w:rFonts w:eastAsia="楷体_GB2312" w:cs="Calibri"/>
          <w:b/>
          <w:sz w:val="28"/>
        </w:rPr>
        <w:t>签约地点：</w:t>
      </w:r>
      <w:r>
        <w:rPr>
          <w:rFonts w:eastAsia="楷体_GB2312" w:cs="Calibri"/>
          <w:b/>
          <w:sz w:val="28"/>
          <w:u w:val="single"/>
        </w:rPr>
        <w:t xml:space="preserve">上海市闵行区江川东路100号 </w:t>
      </w:r>
    </w:p>
    <w:p>
      <w:pPr>
        <w:pStyle w:val="185"/>
        <w:tabs>
          <w:tab w:val="left" w:pos="2955"/>
        </w:tabs>
        <w:spacing w:before="0" w:beforeAutospacing="0" w:after="0" w:afterAutospacing="0" w:line="360" w:lineRule="auto"/>
        <w:ind w:firstLine="422"/>
        <w:jc w:val="center"/>
        <w:rPr>
          <w:rFonts w:ascii="Calibri" w:hAnsi="Calibri" w:eastAsia="楷体_GB2312" w:cs="Calibri"/>
          <w:b/>
          <w:color w:val="000000"/>
          <w:sz w:val="21"/>
        </w:rPr>
      </w:pPr>
    </w:p>
    <w:p>
      <w:pPr>
        <w:pStyle w:val="185"/>
        <w:tabs>
          <w:tab w:val="left" w:pos="2955"/>
        </w:tabs>
        <w:spacing w:before="0" w:beforeAutospacing="0" w:after="0" w:afterAutospacing="0" w:line="360" w:lineRule="auto"/>
        <w:ind w:firstLine="422"/>
        <w:jc w:val="center"/>
        <w:rPr>
          <w:rFonts w:ascii="Calibri" w:hAnsi="Calibri" w:eastAsia="楷体_GB2312" w:cs="Calibri"/>
          <w:b/>
          <w:color w:val="000000"/>
          <w:sz w:val="21"/>
        </w:rPr>
      </w:pPr>
    </w:p>
    <w:p>
      <w:pPr>
        <w:pStyle w:val="185"/>
        <w:tabs>
          <w:tab w:val="left" w:pos="2955"/>
        </w:tabs>
        <w:spacing w:before="0" w:beforeAutospacing="0" w:after="0" w:afterAutospacing="0" w:line="360" w:lineRule="auto"/>
        <w:ind w:firstLine="422"/>
        <w:jc w:val="center"/>
        <w:rPr>
          <w:rFonts w:ascii="Calibri" w:hAnsi="Calibri" w:eastAsia="楷体_GB2312" w:cs="Calibri"/>
          <w:b/>
          <w:color w:val="000000"/>
          <w:sz w:val="21"/>
        </w:rPr>
      </w:pPr>
    </w:p>
    <w:p>
      <w:pPr>
        <w:rPr>
          <w:rFonts w:cs="Calibri"/>
        </w:rPr>
      </w:pPr>
    </w:p>
    <w:p>
      <w:pPr>
        <w:rPr>
          <w:rFonts w:cs="Calibri"/>
        </w:rPr>
      </w:pPr>
    </w:p>
    <w:p>
      <w:pPr>
        <w:rPr>
          <w:rFonts w:cs="Calibri"/>
        </w:rPr>
      </w:pPr>
    </w:p>
    <w:p>
      <w:pPr>
        <w:rPr>
          <w:rFonts w:cs="Calibri"/>
        </w:rPr>
      </w:pPr>
    </w:p>
    <w:p>
      <w:pPr>
        <w:rPr>
          <w:rFonts w:cs="Calibri"/>
        </w:rPr>
      </w:pPr>
    </w:p>
    <w:p>
      <w:pPr>
        <w:rPr>
          <w:rFonts w:eastAsia="楷体_GB2312" w:cs="Calibri"/>
        </w:rPr>
      </w:pPr>
    </w:p>
    <w:p>
      <w:pPr>
        <w:rPr>
          <w:rFonts w:eastAsia="楷体_GB2312" w:cs="Calibri"/>
        </w:rPr>
      </w:pPr>
    </w:p>
    <w:p>
      <w:pPr>
        <w:rPr>
          <w:rFonts w:cs="Calibri"/>
          <w:b/>
          <w:sz w:val="24"/>
        </w:rPr>
        <w:sectPr>
          <w:headerReference r:id="rId3" w:type="default"/>
          <w:footerReference r:id="rId4" w:type="default"/>
          <w:pgSz w:w="11906" w:h="16838"/>
          <w:pgMar w:top="1247" w:right="1247" w:bottom="1247" w:left="1247" w:header="851" w:footer="850" w:gutter="0"/>
          <w:pgNumType w:fmt="decimal"/>
          <w:cols w:space="720" w:num="1"/>
          <w:docGrid w:linePitch="286" w:charSpace="0"/>
        </w:sectPr>
      </w:pPr>
    </w:p>
    <w:p>
      <w:pPr>
        <w:spacing w:line="360" w:lineRule="auto"/>
        <w:ind w:firstLine="562" w:firstLineChars="200"/>
        <w:jc w:val="center"/>
        <w:rPr>
          <w:rFonts w:cs="Calibri" w:eastAsiaTheme="minorEastAsia"/>
          <w:b/>
          <w:sz w:val="28"/>
          <w:szCs w:val="24"/>
        </w:rPr>
      </w:pPr>
      <w:r>
        <w:rPr>
          <w:rFonts w:cs="Calibri" w:eastAsiaTheme="minorEastAsia"/>
          <w:b/>
          <w:sz w:val="28"/>
          <w:szCs w:val="24"/>
        </w:rPr>
        <w:t>航材国际快递服务合同</w:t>
      </w: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r>
        <w:rPr>
          <w:rFonts w:cs="Calibri" w:eastAsiaTheme="minorEastAsia"/>
          <w:sz w:val="24"/>
          <w:szCs w:val="24"/>
        </w:rPr>
        <w:t>本</w:t>
      </w:r>
      <w:r>
        <w:rPr>
          <w:rFonts w:hint="eastAsia" w:cs="Calibri" w:eastAsiaTheme="minorEastAsia"/>
          <w:sz w:val="24"/>
          <w:szCs w:val="24"/>
          <w:lang w:val="en-US" w:eastAsia="zh-CN"/>
        </w:rPr>
        <w:t>航材国际快递</w:t>
      </w:r>
      <w:r>
        <w:rPr>
          <w:rFonts w:hint="default" w:cs="Calibri" w:eastAsiaTheme="minorEastAsia"/>
          <w:sz w:val="24"/>
          <w:szCs w:val="24"/>
          <w:lang w:val="en-US"/>
        </w:rPr>
        <w:t>运输</w:t>
      </w:r>
      <w:r>
        <w:rPr>
          <w:rFonts w:cs="Calibri" w:eastAsiaTheme="minorEastAsia"/>
          <w:sz w:val="24"/>
          <w:szCs w:val="24"/>
        </w:rPr>
        <w:t xml:space="preserve">服务合同在      年     月      日经以下双方签署： </w:t>
      </w: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r>
        <w:rPr>
          <w:rFonts w:cs="Calibri" w:eastAsiaTheme="minorEastAsia"/>
          <w:sz w:val="24"/>
          <w:szCs w:val="24"/>
        </w:rPr>
        <w:t>甲方：上海飞机客户服务有限公司</w:t>
      </w: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r>
        <w:rPr>
          <w:rFonts w:cs="Calibri" w:eastAsiaTheme="minorEastAsia"/>
          <w:sz w:val="24"/>
          <w:szCs w:val="24"/>
        </w:rPr>
        <w:t>法定代表人或负责人：</w:t>
      </w:r>
    </w:p>
    <w:p>
      <w:pPr>
        <w:spacing w:line="360" w:lineRule="auto"/>
        <w:ind w:firstLine="480" w:firstLineChars="200"/>
        <w:rPr>
          <w:rFonts w:cs="Calibri" w:eastAsiaTheme="minorEastAsia"/>
          <w:sz w:val="24"/>
          <w:szCs w:val="24"/>
        </w:rPr>
      </w:pPr>
      <w:r>
        <w:rPr>
          <w:rFonts w:cs="Calibri" w:eastAsiaTheme="minorEastAsia"/>
          <w:sz w:val="24"/>
          <w:szCs w:val="24"/>
        </w:rPr>
        <w:t>地址：上海市闵行区江川东路100号</w:t>
      </w:r>
    </w:p>
    <w:p>
      <w:pPr>
        <w:spacing w:line="360" w:lineRule="auto"/>
        <w:ind w:firstLine="480" w:firstLineChars="200"/>
        <w:rPr>
          <w:rFonts w:hint="eastAsia" w:cs="Calibri" w:eastAsiaTheme="minorEastAsia"/>
          <w:sz w:val="24"/>
          <w:szCs w:val="24"/>
          <w:lang w:val="en-US" w:eastAsia="zh-CN"/>
        </w:rPr>
      </w:pPr>
      <w:r>
        <w:rPr>
          <w:rFonts w:hint="eastAsia" w:cs="Calibri" w:eastAsiaTheme="minorEastAsia"/>
          <w:sz w:val="24"/>
          <w:szCs w:val="24"/>
          <w:lang w:val="en-US" w:eastAsia="zh-CN"/>
        </w:rPr>
        <w:t>统一社会信用代码：</w:t>
      </w:r>
    </w:p>
    <w:p>
      <w:pPr>
        <w:spacing w:line="360" w:lineRule="auto"/>
        <w:ind w:firstLine="480" w:firstLineChars="200"/>
        <w:rPr>
          <w:rFonts w:cs="Calibri" w:eastAsiaTheme="minorEastAsia"/>
          <w:sz w:val="24"/>
          <w:szCs w:val="24"/>
        </w:rPr>
      </w:pPr>
      <w:r>
        <w:rPr>
          <w:rFonts w:cs="Calibri" w:eastAsiaTheme="minorEastAsia"/>
          <w:sz w:val="24"/>
          <w:szCs w:val="24"/>
        </w:rPr>
        <w:t>邮编：200241</w:t>
      </w:r>
    </w:p>
    <w:p>
      <w:pPr>
        <w:spacing w:line="360" w:lineRule="auto"/>
        <w:ind w:firstLine="480" w:firstLineChars="200"/>
        <w:rPr>
          <w:rFonts w:cs="Calibri" w:eastAsiaTheme="minorEastAsia"/>
          <w:sz w:val="24"/>
          <w:szCs w:val="24"/>
        </w:rPr>
      </w:pPr>
      <w:r>
        <w:rPr>
          <w:rFonts w:cs="Calibri" w:eastAsiaTheme="minorEastAsia"/>
          <w:sz w:val="24"/>
          <w:szCs w:val="24"/>
        </w:rPr>
        <w:t>电话： 0086 21 61210000</w:t>
      </w: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r>
        <w:rPr>
          <w:rFonts w:cs="Calibri" w:eastAsiaTheme="minorEastAsia"/>
          <w:sz w:val="24"/>
          <w:szCs w:val="24"/>
        </w:rPr>
        <w:t>乙方：</w:t>
      </w: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r>
        <w:rPr>
          <w:rFonts w:cs="Calibri" w:eastAsiaTheme="minorEastAsia"/>
          <w:sz w:val="24"/>
          <w:szCs w:val="24"/>
        </w:rPr>
        <w:t>法定代表人或负责人：</w:t>
      </w:r>
    </w:p>
    <w:p>
      <w:pPr>
        <w:spacing w:line="360" w:lineRule="auto"/>
        <w:ind w:firstLine="480" w:firstLineChars="200"/>
        <w:rPr>
          <w:rFonts w:cs="Calibri" w:eastAsiaTheme="minorEastAsia"/>
          <w:sz w:val="24"/>
          <w:szCs w:val="24"/>
        </w:rPr>
      </w:pPr>
      <w:r>
        <w:rPr>
          <w:rFonts w:cs="Calibri" w:eastAsiaTheme="minorEastAsia"/>
          <w:sz w:val="24"/>
          <w:szCs w:val="24"/>
        </w:rPr>
        <w:t>地址：</w:t>
      </w:r>
    </w:p>
    <w:p>
      <w:pPr>
        <w:spacing w:line="360" w:lineRule="auto"/>
        <w:ind w:firstLine="480" w:firstLineChars="200"/>
        <w:rPr>
          <w:rFonts w:hint="eastAsia" w:cs="Calibri" w:eastAsiaTheme="minorEastAsia"/>
          <w:sz w:val="24"/>
          <w:szCs w:val="24"/>
          <w:lang w:val="en-US" w:eastAsia="zh-CN"/>
        </w:rPr>
      </w:pPr>
      <w:r>
        <w:rPr>
          <w:rFonts w:hint="eastAsia" w:cs="Calibri" w:eastAsiaTheme="minorEastAsia"/>
          <w:sz w:val="24"/>
          <w:szCs w:val="24"/>
          <w:lang w:val="en-US" w:eastAsia="zh-CN"/>
        </w:rPr>
        <w:t>统一社会信用代码：</w:t>
      </w:r>
    </w:p>
    <w:p>
      <w:pPr>
        <w:spacing w:line="360" w:lineRule="auto"/>
        <w:ind w:firstLine="480" w:firstLineChars="200"/>
        <w:rPr>
          <w:rFonts w:cs="Calibri" w:eastAsiaTheme="minorEastAsia"/>
          <w:sz w:val="24"/>
          <w:szCs w:val="24"/>
        </w:rPr>
      </w:pPr>
      <w:r>
        <w:rPr>
          <w:rFonts w:cs="Calibri" w:eastAsiaTheme="minorEastAsia"/>
          <w:sz w:val="24"/>
          <w:szCs w:val="24"/>
        </w:rPr>
        <w:t>邮编：</w:t>
      </w:r>
    </w:p>
    <w:p>
      <w:pPr>
        <w:spacing w:line="360" w:lineRule="auto"/>
        <w:ind w:firstLine="480" w:firstLineChars="200"/>
        <w:rPr>
          <w:rFonts w:cs="Calibri" w:eastAsiaTheme="minorEastAsia"/>
          <w:sz w:val="24"/>
          <w:szCs w:val="24"/>
        </w:rPr>
      </w:pPr>
      <w:r>
        <w:rPr>
          <w:rFonts w:cs="Calibri" w:eastAsiaTheme="minorEastAsia"/>
          <w:sz w:val="24"/>
          <w:szCs w:val="24"/>
        </w:rPr>
        <w:t xml:space="preserve">电话： </w:t>
      </w:r>
    </w:p>
    <w:p>
      <w:pPr>
        <w:spacing w:line="360" w:lineRule="auto"/>
        <w:ind w:firstLine="480" w:firstLineChars="200"/>
        <w:jc w:val="left"/>
        <w:rPr>
          <w:rFonts w:cs="Calibri" w:eastAsiaTheme="minorEastAsia"/>
          <w:sz w:val="24"/>
          <w:szCs w:val="24"/>
        </w:rPr>
      </w:pPr>
    </w:p>
    <w:p>
      <w:pPr>
        <w:spacing w:line="360" w:lineRule="auto"/>
        <w:ind w:firstLine="480" w:firstLineChars="200"/>
        <w:jc w:val="left"/>
        <w:rPr>
          <w:rFonts w:cs="Calibri" w:eastAsiaTheme="minorEastAsia"/>
          <w:sz w:val="24"/>
          <w:szCs w:val="24"/>
        </w:rPr>
      </w:pPr>
      <w:r>
        <w:rPr>
          <w:rFonts w:cs="Calibri" w:eastAsiaTheme="minorEastAsia"/>
          <w:sz w:val="24"/>
          <w:szCs w:val="24"/>
        </w:rPr>
        <w:t>鉴于：</w:t>
      </w:r>
    </w:p>
    <w:p>
      <w:pPr>
        <w:spacing w:line="360" w:lineRule="auto"/>
        <w:ind w:firstLine="480" w:firstLineChars="200"/>
        <w:jc w:val="left"/>
        <w:rPr>
          <w:rFonts w:cs="Calibri" w:eastAsiaTheme="minorEastAsia"/>
          <w:sz w:val="24"/>
          <w:szCs w:val="24"/>
        </w:rPr>
      </w:pPr>
      <w:r>
        <w:rPr>
          <w:rFonts w:cs="Calibri" w:eastAsiaTheme="minorEastAsia"/>
          <w:sz w:val="24"/>
          <w:szCs w:val="24"/>
        </w:rPr>
        <w:t>甲方和乙方根据《中华人民共和国民法典》等法律法规规定，本着平等互利、诚实信用等原则，就甲方委托乙方承运航材等货物的快递运输服务事宜，经充分友好协商，达成如下协议，以资共同恪守。</w:t>
      </w:r>
    </w:p>
    <w:p>
      <w:pPr>
        <w:spacing w:line="360" w:lineRule="auto"/>
        <w:ind w:firstLine="480" w:firstLineChars="200"/>
        <w:rPr>
          <w:rFonts w:cs="Calibri" w:eastAsiaTheme="minorEastAsia"/>
          <w:sz w:val="24"/>
          <w:szCs w:val="24"/>
        </w:rPr>
      </w:pPr>
    </w:p>
    <w:p>
      <w:pPr>
        <w:spacing w:line="360" w:lineRule="auto"/>
        <w:rPr>
          <w:rFonts w:cs="Calibri" w:eastAsiaTheme="minorEastAsia"/>
          <w:sz w:val="24"/>
          <w:szCs w:val="24"/>
        </w:rPr>
      </w:pPr>
      <w:r>
        <w:rPr>
          <w:rFonts w:cs="Calibri" w:eastAsiaTheme="minorEastAsia"/>
          <w:b/>
          <w:sz w:val="24"/>
          <w:szCs w:val="24"/>
        </w:rPr>
        <w:t>一、快递服务</w:t>
      </w:r>
    </w:p>
    <w:p>
      <w:pPr>
        <w:spacing w:line="360" w:lineRule="auto"/>
        <w:ind w:firstLine="480" w:firstLineChars="200"/>
        <w:rPr>
          <w:rFonts w:cs="Calibri" w:eastAsiaTheme="minorEastAsia"/>
          <w:sz w:val="24"/>
          <w:szCs w:val="24"/>
        </w:rPr>
      </w:pPr>
      <w:r>
        <w:rPr>
          <w:rFonts w:cs="Calibri" w:eastAsiaTheme="minorEastAsia"/>
          <w:sz w:val="24"/>
          <w:szCs w:val="24"/>
        </w:rPr>
        <w:t>1、甲方同意委托乙方为承运人，乙方具备</w:t>
      </w:r>
      <w:r>
        <w:rPr>
          <w:rFonts w:hint="eastAsia" w:cs="Calibri" w:eastAsiaTheme="minorEastAsia"/>
          <w:sz w:val="24"/>
          <w:szCs w:val="24"/>
          <w:lang w:val="en-US" w:eastAsia="zh-CN"/>
        </w:rPr>
        <w:t>中国和业务相关国家</w:t>
      </w:r>
      <w:r>
        <w:rPr>
          <w:rFonts w:cs="Calibri" w:eastAsiaTheme="minorEastAsia"/>
          <w:sz w:val="24"/>
          <w:szCs w:val="24"/>
        </w:rPr>
        <w:t>法律法规规定的履行本协议的所有应具备的资质，乙方接受甲方的委托，通过乙方的网络(......)为甲方提供国际快递服务。</w:t>
      </w:r>
    </w:p>
    <w:p>
      <w:pPr>
        <w:spacing w:line="360" w:lineRule="auto"/>
        <w:ind w:firstLine="480" w:firstLineChars="200"/>
        <w:rPr>
          <w:rFonts w:cs="Calibri" w:eastAsiaTheme="minorEastAsia"/>
          <w:sz w:val="24"/>
          <w:szCs w:val="24"/>
        </w:rPr>
      </w:pPr>
      <w:r>
        <w:rPr>
          <w:rFonts w:cs="Calibri" w:eastAsiaTheme="minorEastAsia"/>
          <w:sz w:val="24"/>
          <w:szCs w:val="24"/>
        </w:rPr>
        <w:t>2、“乙方”是指乙方网络的所有成员。“乙方网络（......)”是指由乙方、      、      ，或者任何一方的参股或控股子公司、分支机构、授权代理商所组成的国际快递服务网络，为甲方提供服务。鉴于甲方委托乙方为承运人，乙方应确保“乙方网络(......)”的所有成员为甲方提供的全球快递服务的标准满足本合同约定以及乙方明示的陈述与保证，同时乙方应对“乙方网络(......)”的所有成员为甲方提供的全球快递服务的行为承担连带责任。</w:t>
      </w:r>
    </w:p>
    <w:p>
      <w:pPr>
        <w:spacing w:line="360" w:lineRule="auto"/>
        <w:ind w:firstLine="480" w:firstLineChars="200"/>
        <w:rPr>
          <w:rFonts w:cs="Calibri" w:eastAsiaTheme="minorEastAsia"/>
          <w:sz w:val="24"/>
          <w:szCs w:val="24"/>
        </w:rPr>
      </w:pPr>
      <w:r>
        <w:rPr>
          <w:rFonts w:cs="Calibri" w:eastAsiaTheme="minorEastAsia"/>
          <w:sz w:val="24"/>
          <w:szCs w:val="24"/>
        </w:rPr>
        <w:t>3、</w:t>
      </w:r>
      <w:r>
        <w:rPr>
          <w:rFonts w:cs="Calibri" w:eastAsiaTheme="minorEastAsia"/>
          <w:spacing w:val="8"/>
          <w:sz w:val="24"/>
          <w:szCs w:val="24"/>
        </w:rPr>
        <w:t xml:space="preserve"> “快递服务”是</w:t>
      </w:r>
      <w:r>
        <w:rPr>
          <w:rFonts w:cs="Calibri" w:eastAsiaTheme="minorEastAsia"/>
          <w:sz w:val="24"/>
          <w:szCs w:val="24"/>
        </w:rPr>
        <w:t>指通过航空、陆路或其它运输方式提供的快递服务。提供的服务包括：</w:t>
      </w:r>
      <w:r>
        <w:rPr>
          <w:rFonts w:cs="Calibri" w:eastAsiaTheme="minorEastAsia"/>
          <w:sz w:val="24"/>
          <w:szCs w:val="24"/>
          <w:lang w:val="zh-CN"/>
        </w:rPr>
        <w:t>国际快递进出口运输、国内国外揽件与派送</w:t>
      </w:r>
      <w:r>
        <w:rPr>
          <w:rFonts w:cs="Calibri" w:eastAsiaTheme="minorEastAsia"/>
          <w:sz w:val="24"/>
          <w:szCs w:val="24"/>
        </w:rPr>
        <w:t>、境内外进出口清关（包括</w:t>
      </w:r>
      <w:r>
        <w:rPr>
          <w:rFonts w:cs="Calibri" w:eastAsiaTheme="minorEastAsia"/>
          <w:sz w:val="24"/>
          <w:szCs w:val="24"/>
          <w:lang w:val="zh-CN"/>
        </w:rPr>
        <w:t>一般贸易进出口以及修理物品进出口、暂时进出口、保税货物进出境、无代价抵偿等进出口清关</w:t>
      </w:r>
      <w:r>
        <w:rPr>
          <w:rFonts w:cs="Calibri" w:eastAsiaTheme="minorEastAsia"/>
          <w:sz w:val="24"/>
          <w:szCs w:val="24"/>
        </w:rPr>
        <w:t>）、货物装卸搬运、免费的货物跟踪查询服务、免费提供包装物料</w:t>
      </w:r>
      <w:r>
        <w:rPr>
          <w:rFonts w:hint="eastAsia" w:cs="Calibri" w:eastAsiaTheme="minorEastAsia"/>
          <w:sz w:val="24"/>
          <w:szCs w:val="24"/>
          <w:lang w:eastAsia="zh-CN"/>
        </w:rPr>
        <w:t>（</w:t>
      </w:r>
      <w:r>
        <w:rPr>
          <w:rFonts w:hint="eastAsia" w:cs="Calibri" w:eastAsiaTheme="minorEastAsia"/>
          <w:sz w:val="24"/>
          <w:szCs w:val="24"/>
          <w:lang w:val="en-US" w:eastAsia="zh-CN"/>
        </w:rPr>
        <w:t>如捆扎带）</w:t>
      </w:r>
      <w:r>
        <w:rPr>
          <w:rFonts w:cs="Calibri" w:eastAsiaTheme="minorEastAsia"/>
          <w:sz w:val="24"/>
          <w:szCs w:val="24"/>
        </w:rPr>
        <w:t>、协助办理保险理赔、运输信息服务等。</w:t>
      </w:r>
    </w:p>
    <w:p>
      <w:pPr>
        <w:numPr>
          <w:ilvl w:val="0"/>
          <w:numId w:val="3"/>
        </w:numPr>
        <w:spacing w:line="360" w:lineRule="auto"/>
        <w:ind w:firstLine="480" w:firstLineChars="200"/>
        <w:rPr>
          <w:rFonts w:cs="Calibri" w:eastAsiaTheme="minorEastAsia"/>
          <w:sz w:val="24"/>
          <w:szCs w:val="24"/>
        </w:rPr>
      </w:pPr>
      <w:r>
        <w:rPr>
          <w:rFonts w:cs="Calibri" w:eastAsiaTheme="minorEastAsia"/>
          <w:sz w:val="24"/>
          <w:szCs w:val="24"/>
        </w:rPr>
        <w:t>乙方为甲方提供的快递服务时限等标准见本合同附件xx乙方全球快递服务时限和服务承诺。</w:t>
      </w:r>
    </w:p>
    <w:p>
      <w:pPr>
        <w:spacing w:line="360" w:lineRule="auto"/>
        <w:rPr>
          <w:rFonts w:cs="Calibri" w:eastAsiaTheme="minorEastAsia"/>
          <w:sz w:val="24"/>
          <w:szCs w:val="24"/>
        </w:rPr>
      </w:pPr>
      <w:r>
        <w:rPr>
          <w:rFonts w:cs="Calibri" w:eastAsiaTheme="minorEastAsia"/>
          <w:b/>
          <w:sz w:val="24"/>
          <w:szCs w:val="24"/>
        </w:rPr>
        <w:t>二、责任和保险</w:t>
      </w:r>
    </w:p>
    <w:p>
      <w:pPr>
        <w:spacing w:line="360" w:lineRule="auto"/>
        <w:ind w:firstLine="480" w:firstLineChars="200"/>
        <w:rPr>
          <w:rFonts w:cs="Calibri" w:eastAsiaTheme="minorEastAsia"/>
          <w:sz w:val="24"/>
          <w:szCs w:val="24"/>
        </w:rPr>
      </w:pPr>
      <w:r>
        <w:rPr>
          <w:rFonts w:cs="Calibri" w:eastAsiaTheme="minorEastAsia"/>
          <w:sz w:val="24"/>
          <w:szCs w:val="24"/>
        </w:rPr>
        <w:t>1、甲方应正确使用其账号，所发货物符合相关的快递运输要求。甲方也应定期检查所有账单，保证账号的正当使用，并采取相关措施避免账号被盗用。乙方应只接受甲方的委托，其它第三方用甲方的账号委托乙方安排运输或要求费用计入甲方账号的，乙方应在实际承运前或将费用计入甲方账号前与甲方予以确认。乙方未按前述约定与甲方提前予以确认的，甲方不承担相应的责任和费用。</w:t>
      </w:r>
    </w:p>
    <w:p>
      <w:pPr>
        <w:spacing w:line="360" w:lineRule="auto"/>
        <w:ind w:firstLine="480" w:firstLineChars="200"/>
        <w:rPr>
          <w:rFonts w:cs="Calibri" w:eastAsiaTheme="minorEastAsia"/>
          <w:sz w:val="24"/>
          <w:szCs w:val="24"/>
        </w:rPr>
      </w:pPr>
      <w:r>
        <w:rPr>
          <w:rFonts w:cs="Calibri" w:eastAsiaTheme="minorEastAsia"/>
          <w:sz w:val="24"/>
          <w:szCs w:val="24"/>
        </w:rPr>
        <w:t>*2、甲方应完成所有运单和其它</w:t>
      </w:r>
      <w:r>
        <w:rPr>
          <w:rFonts w:hint="eastAsia" w:cs="Calibri" w:eastAsiaTheme="minorEastAsia"/>
          <w:sz w:val="24"/>
          <w:szCs w:val="24"/>
          <w:lang w:val="en-US" w:eastAsia="zh-CN"/>
        </w:rPr>
        <w:t>相关</w:t>
      </w:r>
      <w:r>
        <w:rPr>
          <w:rFonts w:cs="Calibri" w:eastAsiaTheme="minorEastAsia"/>
          <w:sz w:val="24"/>
          <w:szCs w:val="24"/>
        </w:rPr>
        <w:t>文件的填写，包括由乙方电子商务工具自动制作的标签、运单或托运票据，其中包含“乙方快递服务条款与条件”的内容。甲方有义务保证所填写信息的真实性和完整性。乙方没有义务审查运单和其它文件的填写人员的资格和是否得到甲方授权，也没有义务审查所填写内容与货物是否相符。无论是由甲方或乙方应甲方要求完成运单和其它文件的填写，甲方均应对所填写的内容承担责任，除非由于乙方原因造成运单和其他文件内容填写错误或遗漏。此外，甲方在出口货物前要自行取得出口所需的各种许可证和其它政府批文。</w:t>
      </w:r>
    </w:p>
    <w:p>
      <w:pPr>
        <w:spacing w:line="360" w:lineRule="auto"/>
        <w:ind w:firstLine="480" w:firstLineChars="200"/>
        <w:rPr>
          <w:rFonts w:cs="Calibri" w:eastAsiaTheme="minorEastAsia"/>
          <w:sz w:val="24"/>
          <w:szCs w:val="24"/>
        </w:rPr>
      </w:pPr>
      <w:r>
        <w:rPr>
          <w:rFonts w:cs="Calibri" w:eastAsiaTheme="minorEastAsia"/>
          <w:sz w:val="24"/>
          <w:szCs w:val="24"/>
        </w:rPr>
        <w:t>*3、如果货物的派送超出乙方常规服务区域，乙方需收取额外费用。额外费用的标准参考乙方官方网站公示内容或价格由甲乙双方另行协商。</w:t>
      </w:r>
    </w:p>
    <w:p>
      <w:pPr>
        <w:spacing w:line="360" w:lineRule="auto"/>
        <w:ind w:firstLine="480" w:firstLineChars="200"/>
        <w:rPr>
          <w:rFonts w:cs="Calibri" w:eastAsiaTheme="minorEastAsia"/>
          <w:sz w:val="24"/>
          <w:szCs w:val="24"/>
        </w:rPr>
      </w:pPr>
      <w:r>
        <w:rPr>
          <w:rFonts w:cs="Calibri" w:eastAsiaTheme="minorEastAsia"/>
          <w:sz w:val="24"/>
          <w:szCs w:val="24"/>
        </w:rPr>
        <w:t>*4、乙方提供的快递服务应符合“乙方快递服务条款与条件”（本合同附件2）、“账号/价格”（本合同附件1）和“乙方全球快递服务时限和服务承诺”的规定。</w:t>
      </w:r>
    </w:p>
    <w:p>
      <w:pPr>
        <w:spacing w:line="360" w:lineRule="auto"/>
        <w:ind w:firstLine="480" w:firstLineChars="200"/>
        <w:rPr>
          <w:rFonts w:cs="Calibri" w:eastAsiaTheme="minorEastAsia"/>
          <w:sz w:val="24"/>
          <w:szCs w:val="24"/>
        </w:rPr>
      </w:pPr>
      <w:r>
        <w:rPr>
          <w:rFonts w:cs="Calibri" w:eastAsiaTheme="minorEastAsia"/>
          <w:sz w:val="24"/>
          <w:szCs w:val="24"/>
        </w:rPr>
        <w:t>*5、如甲方或甲方发件人在运单的正面填好保险项（甲方或甲方发件人在运单正面保险栏打钩并填写与该票件申报价值相同金额作为保险金额后）或通过乙方的电子商务工具提出代为投保的要求，乙方应为甲方或甲方发件人按照货物的实际现金价值就快件的毁损、灭失进行投保，乙方有义务协助甲方向保险公司办理赔偿事宜（提供相关证明文件等）。</w:t>
      </w:r>
    </w:p>
    <w:p>
      <w:pPr>
        <w:spacing w:line="360" w:lineRule="auto"/>
        <w:ind w:firstLine="480" w:firstLineChars="200"/>
        <w:rPr>
          <w:rFonts w:cs="Calibri" w:eastAsiaTheme="minorEastAsia"/>
          <w:sz w:val="24"/>
          <w:szCs w:val="24"/>
        </w:rPr>
      </w:pPr>
      <w:r>
        <w:rPr>
          <w:rFonts w:cs="Calibri" w:eastAsiaTheme="minorEastAsia"/>
          <w:sz w:val="24"/>
          <w:szCs w:val="24"/>
        </w:rPr>
        <w:t>*6、乙方向甲方提供的快递服务未达到本合同及其附件中标准的，乙方应对由此造成的甲方的损失按本合同约定承担赔偿责任。</w:t>
      </w:r>
    </w:p>
    <w:p>
      <w:pPr>
        <w:spacing w:line="360" w:lineRule="auto"/>
        <w:ind w:firstLine="480" w:firstLineChars="200"/>
        <w:rPr>
          <w:rFonts w:cs="Calibri" w:eastAsiaTheme="minorEastAsia"/>
          <w:sz w:val="24"/>
          <w:szCs w:val="24"/>
        </w:rPr>
      </w:pPr>
      <w:r>
        <w:rPr>
          <w:rFonts w:cs="Calibri" w:eastAsiaTheme="minorEastAsia"/>
          <w:sz w:val="24"/>
          <w:szCs w:val="24"/>
        </w:rPr>
        <w:t>*7、乙方应当在其承诺的时限内将货物运至甲方指定地点。乙方确认并同意，甲方在本合同下交付乙方运输的时限要求为实质性要求，乙方应尽合理最大努力，包括协调乙方网络(......)资源，确保货物按照甲方要求的时限送达。</w:t>
      </w:r>
    </w:p>
    <w:p>
      <w:pPr>
        <w:spacing w:line="360" w:lineRule="auto"/>
        <w:ind w:firstLine="480" w:firstLineChars="200"/>
        <w:rPr>
          <w:rFonts w:cs="Calibri" w:eastAsiaTheme="minorEastAsia"/>
          <w:sz w:val="24"/>
          <w:szCs w:val="24"/>
        </w:rPr>
      </w:pPr>
      <w:r>
        <w:rPr>
          <w:rFonts w:cs="Calibri" w:eastAsiaTheme="minorEastAsia"/>
          <w:sz w:val="24"/>
          <w:szCs w:val="24"/>
        </w:rPr>
        <w:t>8、乙方应指定固定专职报关客服人员与甲方进出口</w:t>
      </w:r>
      <w:r>
        <w:rPr>
          <w:rFonts w:cs="Calibri" w:eastAsiaTheme="minorEastAsia"/>
          <w:bCs/>
          <w:sz w:val="24"/>
          <w:szCs w:val="24"/>
        </w:rPr>
        <w:t>室</w:t>
      </w:r>
      <w:r>
        <w:rPr>
          <w:rFonts w:cs="Calibri" w:eastAsiaTheme="minorEastAsia"/>
          <w:sz w:val="24"/>
          <w:szCs w:val="24"/>
        </w:rPr>
        <w:t>报关人员对接</w:t>
      </w:r>
      <w:r>
        <w:rPr>
          <w:rFonts w:cs="Calibri" w:eastAsiaTheme="minorEastAsia"/>
          <w:bCs/>
          <w:sz w:val="24"/>
          <w:szCs w:val="24"/>
        </w:rPr>
        <w:t>或与甲方进出口室指定的报关行对接，制定从中国境内出口的海关申报和从国外进口的海关申报操作作业程序（包括进出口申报文件的交接、缮制、海关查验产生的费用结算等），</w:t>
      </w:r>
      <w:r>
        <w:rPr>
          <w:rFonts w:cs="Calibri" w:eastAsiaTheme="minorEastAsia"/>
          <w:sz w:val="24"/>
          <w:szCs w:val="24"/>
        </w:rPr>
        <w:t>处理进出口报关中的相关事宜。</w:t>
      </w:r>
    </w:p>
    <w:p>
      <w:pPr>
        <w:spacing w:line="360" w:lineRule="auto"/>
        <w:ind w:firstLine="480" w:firstLineChars="200"/>
        <w:rPr>
          <w:rFonts w:cs="Calibri" w:eastAsiaTheme="minorEastAsia"/>
          <w:sz w:val="24"/>
          <w:szCs w:val="24"/>
        </w:rPr>
      </w:pPr>
      <w:r>
        <w:rPr>
          <w:rFonts w:cs="Calibri" w:eastAsiaTheme="minorEastAsia"/>
          <w:sz w:val="24"/>
          <w:szCs w:val="24"/>
        </w:rPr>
        <w:t>*9、从国内出口的业务，乙方应在出口报关结束（海关系统放行）后1个工作日内向甲方提供出口电子版报关单等相关单据。</w:t>
      </w:r>
    </w:p>
    <w:p>
      <w:pPr>
        <w:spacing w:line="360" w:lineRule="auto"/>
        <w:ind w:firstLine="480" w:firstLineChars="200"/>
        <w:rPr>
          <w:rFonts w:cs="Calibri" w:eastAsiaTheme="minorEastAsia"/>
          <w:sz w:val="24"/>
          <w:szCs w:val="24"/>
        </w:rPr>
      </w:pPr>
      <w:r>
        <w:rPr>
          <w:rFonts w:cs="Calibri" w:eastAsiaTheme="minorEastAsia"/>
          <w:sz w:val="24"/>
          <w:szCs w:val="24"/>
        </w:rPr>
        <w:t>*10、从国内出口修理物品等特殊出口业务，乙方应在出口报关结束（海关系统放行）后5个工作日内向甲方提供出口电子版报关单等相关单据。</w:t>
      </w:r>
    </w:p>
    <w:p>
      <w:pPr>
        <w:spacing w:line="360" w:lineRule="auto"/>
        <w:ind w:firstLine="480" w:firstLineChars="200"/>
        <w:rPr>
          <w:rFonts w:cs="Calibri" w:eastAsiaTheme="minorEastAsia"/>
          <w:sz w:val="24"/>
          <w:szCs w:val="24"/>
        </w:rPr>
      </w:pPr>
      <w:r>
        <w:rPr>
          <w:rFonts w:cs="Calibri" w:eastAsiaTheme="minorEastAsia"/>
          <w:sz w:val="24"/>
          <w:szCs w:val="24"/>
        </w:rPr>
        <w:t>*11、从国外进口业务，乙方应在进口报关结束（海关系统放行）后1个工作日内向甲方进口电子版报关单等相关单据。</w:t>
      </w:r>
    </w:p>
    <w:p>
      <w:pPr>
        <w:spacing w:line="360" w:lineRule="auto"/>
        <w:ind w:firstLine="480" w:firstLineChars="200"/>
        <w:rPr>
          <w:rFonts w:cs="Calibri" w:eastAsiaTheme="minorEastAsia"/>
          <w:sz w:val="24"/>
          <w:szCs w:val="24"/>
        </w:rPr>
      </w:pPr>
      <w:r>
        <w:rPr>
          <w:rFonts w:cs="Calibri" w:eastAsiaTheme="minorEastAsia"/>
          <w:sz w:val="24"/>
          <w:szCs w:val="24"/>
        </w:rPr>
        <w:t>*12、修理物品复进口国内</w:t>
      </w:r>
      <w:r>
        <w:rPr>
          <w:rFonts w:cs="Calibri" w:eastAsiaTheme="minorEastAsia"/>
          <w:bCs/>
          <w:sz w:val="24"/>
          <w:szCs w:val="24"/>
        </w:rPr>
        <w:t>等</w:t>
      </w:r>
      <w:r>
        <w:rPr>
          <w:rFonts w:cs="Calibri" w:eastAsiaTheme="minorEastAsia"/>
          <w:sz w:val="24"/>
          <w:szCs w:val="24"/>
        </w:rPr>
        <w:t>特殊进口业务，乙方应在进口报关结束（海关系统放行）后5个工作日内向甲方进口电子版报关单等相关单据</w:t>
      </w:r>
    </w:p>
    <w:p>
      <w:pPr>
        <w:spacing w:line="360" w:lineRule="auto"/>
        <w:ind w:firstLine="480" w:firstLineChars="200"/>
        <w:rPr>
          <w:rFonts w:cs="Calibri" w:eastAsiaTheme="minorEastAsia"/>
          <w:sz w:val="24"/>
          <w:szCs w:val="24"/>
        </w:rPr>
      </w:pPr>
      <w:r>
        <w:rPr>
          <w:rFonts w:cs="Calibri" w:eastAsiaTheme="minorEastAsia"/>
          <w:sz w:val="24"/>
          <w:szCs w:val="24"/>
        </w:rPr>
        <w:t>*13、乙方应配合甲方的要求，在接到甲方的书面指示后5个工作日内将进出口报关单（纸质）等文件提供给甲方。</w:t>
      </w:r>
    </w:p>
    <w:p>
      <w:pPr>
        <w:spacing w:line="360" w:lineRule="auto"/>
        <w:ind w:firstLine="480" w:firstLineChars="200"/>
        <w:rPr>
          <w:rFonts w:cs="Calibri" w:eastAsiaTheme="minorEastAsia"/>
          <w:sz w:val="24"/>
          <w:szCs w:val="24"/>
        </w:rPr>
      </w:pPr>
      <w:r>
        <w:rPr>
          <w:rFonts w:cs="Calibri" w:eastAsiaTheme="minorEastAsia"/>
          <w:sz w:val="24"/>
          <w:szCs w:val="24"/>
        </w:rPr>
        <w:t>*14、若由于乙方原因造成甲方无法及时办理账册核销等工作，乙方应及时积极采取有效补救措施，或配合甲方进行补救。若补救措施也无法消除甲方的损失，乙方应赔偿甲方因此遭受的直接损失。</w:t>
      </w:r>
    </w:p>
    <w:p>
      <w:pPr>
        <w:spacing w:line="360" w:lineRule="auto"/>
        <w:ind w:firstLine="480" w:firstLineChars="200"/>
        <w:rPr>
          <w:rFonts w:cs="Calibri" w:eastAsiaTheme="minorEastAsia"/>
          <w:sz w:val="24"/>
          <w:szCs w:val="24"/>
        </w:rPr>
      </w:pPr>
      <w:r>
        <w:rPr>
          <w:rFonts w:cs="Calibri" w:eastAsiaTheme="minorEastAsia"/>
          <w:sz w:val="24"/>
          <w:szCs w:val="24"/>
        </w:rPr>
        <w:t>*15、乙方在收到甲方的相关进出口报关等文件后，应及时核对收到的进出口报关等文件清单并向甲方反馈，乙方应在2个工作日内向甲方提供电子版单据签收单。</w:t>
      </w:r>
    </w:p>
    <w:p>
      <w:pPr>
        <w:spacing w:line="360" w:lineRule="auto"/>
        <w:ind w:firstLine="480" w:firstLineChars="200"/>
        <w:rPr>
          <w:rFonts w:cs="Calibri" w:eastAsiaTheme="minorEastAsia"/>
          <w:sz w:val="24"/>
          <w:szCs w:val="24"/>
        </w:rPr>
      </w:pPr>
      <w:r>
        <w:rPr>
          <w:rFonts w:cs="Calibri" w:eastAsiaTheme="minorEastAsia"/>
          <w:sz w:val="24"/>
          <w:szCs w:val="24"/>
        </w:rPr>
        <w:t>*16、乙方在办理进出口报关手续中，应及时将报关状态提供给甲方，在接到甲方查询要求后，应在4小时内回复。</w:t>
      </w:r>
    </w:p>
    <w:p>
      <w:pPr>
        <w:spacing w:line="360" w:lineRule="auto"/>
        <w:ind w:firstLine="480" w:firstLineChars="200"/>
        <w:rPr>
          <w:rFonts w:cs="Calibri" w:eastAsiaTheme="minorEastAsia"/>
          <w:sz w:val="24"/>
          <w:szCs w:val="24"/>
        </w:rPr>
      </w:pPr>
      <w:r>
        <w:rPr>
          <w:rFonts w:cs="Calibri" w:eastAsiaTheme="minorEastAsia"/>
          <w:sz w:val="24"/>
          <w:szCs w:val="24"/>
        </w:rPr>
        <w:t>*17、乙方在进口清关（中国口岸）时产生的诸如仓储费、小额关增税、海关及出入境检验检疫查验费等费用，乙方不得以现金等方式在向甲方派送货物时直接向甲方人员或收件人收取该类费用，该类费用应按本合同第五条账单出具及付款中的约定方式处理，以月结的方式开具增值税专用发票与甲方进行结算。</w:t>
      </w:r>
    </w:p>
    <w:p>
      <w:pPr>
        <w:spacing w:line="360" w:lineRule="auto"/>
        <w:ind w:firstLine="480" w:firstLineChars="200"/>
        <w:rPr>
          <w:rFonts w:cs="Calibri" w:eastAsiaTheme="minorEastAsia"/>
          <w:sz w:val="24"/>
          <w:szCs w:val="24"/>
        </w:rPr>
      </w:pPr>
      <w:r>
        <w:rPr>
          <w:rFonts w:cs="Calibri" w:eastAsiaTheme="minorEastAsia"/>
          <w:sz w:val="24"/>
          <w:szCs w:val="24"/>
        </w:rPr>
        <w:t>*18、乙方应提供网站查询等多种查询工具和方式供甲方及时获取最新货物运输状态。如甲方提出要求，乙方应提供有“签收方签名的清洁或不清洁”承运单据。</w:t>
      </w:r>
    </w:p>
    <w:p>
      <w:pPr>
        <w:spacing w:line="360" w:lineRule="auto"/>
        <w:ind w:firstLine="480" w:firstLineChars="200"/>
        <w:rPr>
          <w:rFonts w:cs="Calibri" w:eastAsiaTheme="minorEastAsia"/>
          <w:sz w:val="24"/>
          <w:szCs w:val="24"/>
        </w:rPr>
      </w:pPr>
      <w:r>
        <w:rPr>
          <w:rFonts w:cs="Calibri" w:eastAsiaTheme="minorEastAsia"/>
          <w:sz w:val="24"/>
          <w:szCs w:val="24"/>
        </w:rPr>
        <w:t>*19、乙方不得留置本合同项下甲方委托运输的文件、包裹和货物。</w:t>
      </w:r>
    </w:p>
    <w:p>
      <w:pPr>
        <w:spacing w:line="360" w:lineRule="auto"/>
        <w:ind w:firstLine="480" w:firstLineChars="200"/>
        <w:rPr>
          <w:rFonts w:cs="Calibri" w:eastAsiaTheme="minorEastAsia"/>
          <w:sz w:val="24"/>
          <w:szCs w:val="24"/>
        </w:rPr>
      </w:pPr>
      <w:r>
        <w:rPr>
          <w:rFonts w:cs="Calibri" w:eastAsiaTheme="minorEastAsia"/>
          <w:sz w:val="24"/>
          <w:szCs w:val="24"/>
        </w:rPr>
        <w:t>*20、乙方对同一快件提供不少于2次的免费上门收件服务，上门2次未能收到的快件，如仍需要乙方上门收件的，乙方可以收取相关费用，但应事先告知甲方或甲方发件人费用标准。</w:t>
      </w:r>
    </w:p>
    <w:p>
      <w:pPr>
        <w:spacing w:line="360" w:lineRule="auto"/>
        <w:ind w:firstLine="480" w:firstLineChars="200"/>
        <w:rPr>
          <w:rFonts w:cs="Calibri" w:eastAsiaTheme="minorEastAsia"/>
          <w:sz w:val="24"/>
          <w:szCs w:val="24"/>
        </w:rPr>
      </w:pPr>
      <w:r>
        <w:rPr>
          <w:rFonts w:cs="Calibri" w:eastAsiaTheme="minorEastAsia"/>
          <w:sz w:val="24"/>
          <w:szCs w:val="24"/>
        </w:rPr>
        <w:t>*21、乙方应对同一快件提供至少2次免费投递。投递2次未能投交的快件，如仍需要乙方投递的，乙方可以收取相关费用，但应事先告知甲方或甲方收件人费用标准。</w:t>
      </w:r>
    </w:p>
    <w:p>
      <w:pPr>
        <w:spacing w:line="360" w:lineRule="auto"/>
        <w:ind w:firstLine="480" w:firstLineChars="200"/>
        <w:rPr>
          <w:rFonts w:cs="Calibri" w:eastAsiaTheme="minorEastAsia"/>
          <w:sz w:val="24"/>
          <w:szCs w:val="24"/>
          <w:shd w:val="clear" w:color="auto" w:fill="FFFF00"/>
        </w:rPr>
      </w:pPr>
      <w:r>
        <w:rPr>
          <w:rFonts w:cs="Calibri" w:eastAsiaTheme="minorEastAsia"/>
          <w:sz w:val="24"/>
          <w:szCs w:val="24"/>
        </w:rPr>
        <w:t>*22、乙方在接单后应立即通知收派员取件。收派员取件时应满足以下要求：</w:t>
      </w:r>
    </w:p>
    <w:p>
      <w:pPr>
        <w:pStyle w:val="168"/>
        <w:spacing w:line="360" w:lineRule="auto"/>
        <w:ind w:firstLine="480" w:firstLineChars="200"/>
        <w:rPr>
          <w:rFonts w:ascii="Calibri" w:hAnsi="Calibri" w:cs="Calibri" w:eastAsiaTheme="minorEastAsia"/>
          <w:sz w:val="24"/>
          <w:szCs w:val="24"/>
        </w:rPr>
      </w:pPr>
      <w:r>
        <w:rPr>
          <w:rFonts w:ascii="Calibri" w:hAnsi="Calibri" w:cs="Calibri" w:eastAsiaTheme="minorEastAsia"/>
          <w:sz w:val="24"/>
          <w:szCs w:val="24"/>
        </w:rPr>
        <w:t>——正常的取件时间宜在2小时内，有约定的除外；</w:t>
      </w:r>
    </w:p>
    <w:p>
      <w:pPr>
        <w:pStyle w:val="168"/>
        <w:spacing w:line="360" w:lineRule="auto"/>
        <w:ind w:firstLine="480" w:firstLineChars="200"/>
        <w:rPr>
          <w:rFonts w:ascii="Calibri" w:hAnsi="Calibri" w:cs="Calibri" w:eastAsiaTheme="minorEastAsia"/>
          <w:sz w:val="24"/>
          <w:szCs w:val="24"/>
        </w:rPr>
      </w:pPr>
      <w:r>
        <w:rPr>
          <w:rFonts w:ascii="Calibri" w:hAnsi="Calibri" w:cs="Calibri" w:eastAsiaTheme="minorEastAsia"/>
          <w:sz w:val="24"/>
          <w:szCs w:val="24"/>
        </w:rPr>
        <w:t>——应提示甲方或甲方发件人准备进出口申报的发票、装箱单、合同及其它海关需要的其他单证。</w:t>
      </w:r>
    </w:p>
    <w:p>
      <w:pPr>
        <w:spacing w:line="360" w:lineRule="auto"/>
        <w:ind w:firstLine="480" w:firstLineChars="200"/>
        <w:rPr>
          <w:rFonts w:cs="Calibri" w:eastAsiaTheme="minorEastAsia"/>
          <w:sz w:val="24"/>
          <w:szCs w:val="24"/>
        </w:rPr>
      </w:pPr>
      <w:r>
        <w:rPr>
          <w:rFonts w:cs="Calibri" w:eastAsiaTheme="minorEastAsia"/>
          <w:sz w:val="24"/>
          <w:szCs w:val="24"/>
        </w:rPr>
        <w:t>*23、乙方的收派员在收件时可要求甲方或甲方发件人开拆，进行验视，但不应检查文件等内容。验视时，应满足以下要求：</w:t>
      </w:r>
    </w:p>
    <w:p>
      <w:pPr>
        <w:spacing w:line="360" w:lineRule="auto"/>
        <w:ind w:firstLine="480" w:firstLineChars="200"/>
        <w:rPr>
          <w:rFonts w:cs="Calibri" w:eastAsiaTheme="minorEastAsia"/>
          <w:sz w:val="24"/>
          <w:szCs w:val="24"/>
        </w:rPr>
      </w:pPr>
      <w:r>
        <w:rPr>
          <w:rFonts w:ascii="Calibri" w:hAnsi="Calibri" w:cs="Calibri" w:eastAsiaTheme="minorEastAsia"/>
          <w:sz w:val="24"/>
          <w:szCs w:val="24"/>
        </w:rPr>
        <w:t>——</w:t>
      </w:r>
      <w:r>
        <w:rPr>
          <w:rFonts w:cs="Calibri" w:eastAsiaTheme="minorEastAsia"/>
          <w:sz w:val="24"/>
          <w:szCs w:val="24"/>
        </w:rPr>
        <w:t>发现法律、法规规定禁寄物品，应拒收并向甲方或甲方发件人说明原因；</w:t>
      </w:r>
    </w:p>
    <w:p>
      <w:pPr>
        <w:spacing w:line="360" w:lineRule="auto"/>
        <w:ind w:firstLine="480" w:firstLineChars="200"/>
        <w:rPr>
          <w:rFonts w:cs="Calibri" w:eastAsiaTheme="minorEastAsia"/>
          <w:sz w:val="24"/>
          <w:szCs w:val="24"/>
        </w:rPr>
      </w:pPr>
      <w:r>
        <w:rPr>
          <w:rFonts w:ascii="Calibri" w:hAnsi="Calibri" w:cs="Calibri" w:eastAsiaTheme="minorEastAsia"/>
          <w:sz w:val="24"/>
          <w:szCs w:val="24"/>
        </w:rPr>
        <w:t>——</w:t>
      </w:r>
      <w:r>
        <w:rPr>
          <w:rFonts w:cs="Calibri" w:eastAsiaTheme="minorEastAsia"/>
          <w:sz w:val="24"/>
          <w:szCs w:val="24"/>
        </w:rPr>
        <w:t>发现限寄物品，应告知甲方或甲方发件人处理方法及附加费用；</w:t>
      </w:r>
    </w:p>
    <w:p>
      <w:pPr>
        <w:spacing w:line="360" w:lineRule="auto"/>
        <w:ind w:firstLine="480" w:firstLineChars="200"/>
        <w:rPr>
          <w:rFonts w:cs="Calibri" w:eastAsiaTheme="minorEastAsia"/>
          <w:sz w:val="24"/>
          <w:szCs w:val="24"/>
        </w:rPr>
      </w:pPr>
      <w:r>
        <w:rPr>
          <w:rFonts w:ascii="Calibri" w:hAnsi="Calibri" w:cs="Calibri" w:eastAsiaTheme="minorEastAsia"/>
          <w:sz w:val="24"/>
          <w:szCs w:val="24"/>
        </w:rPr>
        <w:t>——</w:t>
      </w:r>
      <w:r>
        <w:rPr>
          <w:rFonts w:cs="Calibri" w:eastAsiaTheme="minorEastAsia"/>
          <w:sz w:val="24"/>
          <w:szCs w:val="24"/>
        </w:rPr>
        <w:t>和发件人共同验视。</w:t>
      </w:r>
    </w:p>
    <w:p>
      <w:pPr>
        <w:spacing w:line="360" w:lineRule="auto"/>
        <w:rPr>
          <w:rFonts w:cs="Calibri" w:eastAsiaTheme="minorEastAsia"/>
          <w:sz w:val="24"/>
          <w:szCs w:val="24"/>
        </w:rPr>
      </w:pPr>
    </w:p>
    <w:p>
      <w:pPr>
        <w:spacing w:line="360" w:lineRule="auto"/>
        <w:rPr>
          <w:rFonts w:cs="Calibri" w:eastAsiaTheme="minorEastAsia"/>
          <w:b/>
          <w:sz w:val="24"/>
          <w:szCs w:val="24"/>
        </w:rPr>
      </w:pPr>
      <w:r>
        <w:rPr>
          <w:rFonts w:cs="Calibri" w:eastAsiaTheme="minorEastAsia"/>
          <w:b/>
          <w:sz w:val="24"/>
          <w:szCs w:val="24"/>
        </w:rPr>
        <w:t>三、价格</w:t>
      </w:r>
    </w:p>
    <w:p>
      <w:pPr>
        <w:pStyle w:val="168"/>
        <w:spacing w:line="360" w:lineRule="auto"/>
        <w:ind w:firstLine="480" w:firstLineChars="200"/>
        <w:rPr>
          <w:rFonts w:ascii="Calibri" w:hAnsi="Calibri" w:cs="Calibri" w:eastAsiaTheme="minorEastAsia"/>
          <w:sz w:val="24"/>
          <w:szCs w:val="24"/>
        </w:rPr>
      </w:pPr>
      <w:r>
        <w:rPr>
          <w:rFonts w:ascii="Calibri" w:hAnsi="Calibri" w:cs="Calibri" w:eastAsiaTheme="minorEastAsia"/>
          <w:sz w:val="24"/>
          <w:szCs w:val="24"/>
        </w:rPr>
        <w:t>*经双方友好协商，乙方提供甲方优惠折扣价格（含偏远地区服务费）。乙方承诺并同意，本合同约定价格为固定价格，不以乙方的绕航等而发生费用上的变更，为甲方按照本合同约定应向甲方支付的所有费用。</w:t>
      </w:r>
    </w:p>
    <w:p>
      <w:pPr>
        <w:spacing w:line="360" w:lineRule="auto"/>
        <w:ind w:firstLine="480" w:firstLineChars="200"/>
        <w:rPr>
          <w:rFonts w:cs="Calibri" w:eastAsiaTheme="minorEastAsia"/>
          <w:sz w:val="24"/>
          <w:szCs w:val="24"/>
        </w:rPr>
      </w:pPr>
      <w:r>
        <w:rPr>
          <w:rFonts w:cs="Calibri" w:eastAsiaTheme="minorEastAsia"/>
          <w:sz w:val="24"/>
          <w:szCs w:val="24"/>
        </w:rPr>
        <w:t>*1、在市场行情发生显著变化时，甲方或乙方都有权向对方提出修改价格，并以书面（电子邮件，传真等）通知对方。任何一方在收到对方提出修改价格的书面通知后如对价格修改有异议应在收到对方书面通知后十五个工作日内提出，否则，视为接受对方有关修改价格的要求并接受对方提出的新的本合同所适用的价格，则新适用的价格对原价格变更，成为本合同不可分割的一部分，与本合同具有同等法律效力。在双方协商达成的新优惠折扣价格生效前，乙方仍应按原提供甲方的优惠折扣价格执行。</w:t>
      </w:r>
    </w:p>
    <w:p>
      <w:pPr>
        <w:spacing w:line="360" w:lineRule="auto"/>
        <w:ind w:firstLine="480" w:firstLineChars="200"/>
        <w:rPr>
          <w:rFonts w:cs="Calibri" w:eastAsiaTheme="minorEastAsia"/>
          <w:sz w:val="24"/>
          <w:szCs w:val="24"/>
        </w:rPr>
      </w:pPr>
      <w:r>
        <w:rPr>
          <w:rFonts w:cs="Calibri" w:eastAsiaTheme="minorEastAsia"/>
          <w:sz w:val="24"/>
          <w:szCs w:val="24"/>
        </w:rPr>
        <w:t>*3、本合同适用的所有价格不包含进出口环节征收的商品增值税、海关关税和其它各种政府规费，其中进出口增值税、海关关税由甲方自行支付或提前转交乙方代为支付，其他各种政府规费由乙方负责代垫支付，最终根据相应发票和甲方按实结算。</w:t>
      </w:r>
    </w:p>
    <w:p>
      <w:pPr>
        <w:spacing w:line="360" w:lineRule="auto"/>
        <w:ind w:firstLine="480" w:firstLineChars="200"/>
        <w:rPr>
          <w:rFonts w:cs="Calibri" w:eastAsiaTheme="minorEastAsia"/>
          <w:sz w:val="24"/>
          <w:szCs w:val="24"/>
        </w:rPr>
      </w:pPr>
      <w:r>
        <w:rPr>
          <w:rFonts w:cs="Calibri" w:eastAsiaTheme="minorEastAsia"/>
          <w:sz w:val="24"/>
          <w:szCs w:val="24"/>
        </w:rPr>
        <w:t>*4、乙方保留征收紧急附加费的权利（不包括基于油价指数的燃油附加费）。当出现在订立本合同之初不能预见的临时市场环境变化或全行业情势变动时，包括但不限于国际航空货运协会(IATA)建议征收的附加费、由于战争或禁运引起油价上涨。乙方将以书面形式向甲方通知紧急附加费的征收，甲方在收到该书面通知后七个日历日内未提出异议的，则该通知正式生效。此种附加费均是临时性的，不包含在双方约定的运费中，并将单独列出。</w:t>
      </w:r>
    </w:p>
    <w:p>
      <w:pPr>
        <w:spacing w:line="360" w:lineRule="auto"/>
        <w:ind w:firstLine="480" w:firstLineChars="200"/>
        <w:rPr>
          <w:rFonts w:cs="Calibri" w:eastAsiaTheme="minorEastAsia"/>
          <w:sz w:val="24"/>
          <w:szCs w:val="24"/>
        </w:rPr>
      </w:pPr>
      <w:r>
        <w:rPr>
          <w:rFonts w:cs="Calibri" w:eastAsiaTheme="minorEastAsia"/>
          <w:sz w:val="24"/>
          <w:szCs w:val="24"/>
        </w:rPr>
        <w:t>*5、甲方同意乙方对货物进行计量，运费按照乙方称出的计费重量计算。计费重量以货物实际重量和体积重量中较大者为准。甲方保留对乙方计量的结果进行复核的权利，并有权要求乙方退还甲方因乙方计量错误或误差导致的乙方向甲方多收取的运费。</w:t>
      </w: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r>
        <w:rPr>
          <w:rFonts w:cs="Calibri" w:eastAsiaTheme="minorEastAsia"/>
          <w:sz w:val="24"/>
          <w:szCs w:val="24"/>
        </w:rPr>
        <w:t>快件体积重量计算的运费公式为：长(cm)×宽(cm)×高(cm)÷5,000=体积重量</w:t>
      </w: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r>
        <w:rPr>
          <w:rFonts w:cs="Calibri" w:eastAsiaTheme="minorEastAsia"/>
          <w:sz w:val="24"/>
          <w:szCs w:val="24"/>
        </w:rPr>
        <w:t>*6、对于寄往非乙方网络(......)常规服务区域的出口预付快件，或从非乙方网络(......)常规服务区域收取的进口到付快件，将按乙方提供给甲方的偏远地区服务费率征收偏远地区服务费。收费标准及偏远地区信息可通过乙方网www.      查询。如偏远地区信息和偏远地区服务费有变化调整，乙方应在乙方网址www.      公布前以书面等方式通知甲方。</w:t>
      </w:r>
    </w:p>
    <w:p>
      <w:pPr>
        <w:spacing w:line="360" w:lineRule="auto"/>
        <w:ind w:firstLine="480" w:firstLineChars="200"/>
        <w:rPr>
          <w:rFonts w:cs="Calibri" w:eastAsiaTheme="minorEastAsia"/>
          <w:sz w:val="24"/>
          <w:szCs w:val="24"/>
        </w:rPr>
      </w:pPr>
      <w:r>
        <w:rPr>
          <w:rFonts w:cs="Calibri" w:eastAsiaTheme="minorEastAsia"/>
          <w:sz w:val="24"/>
          <w:szCs w:val="24"/>
        </w:rPr>
        <w:t xml:space="preserve">*7、对于甲方交寄的出口到付快件，若付款人拒付运费，甲方须按照乙方给予甲方的公布价格支付运费及其他相关费用。 </w:t>
      </w:r>
    </w:p>
    <w:p>
      <w:pPr>
        <w:spacing w:line="360" w:lineRule="auto"/>
        <w:ind w:firstLine="480" w:firstLineChars="200"/>
        <w:rPr>
          <w:rFonts w:cs="Calibri" w:eastAsiaTheme="minorEastAsia"/>
          <w:sz w:val="24"/>
          <w:szCs w:val="24"/>
        </w:rPr>
      </w:pPr>
      <w:r>
        <w:rPr>
          <w:rFonts w:cs="Calibri" w:eastAsiaTheme="minorEastAsia"/>
          <w:sz w:val="24"/>
          <w:szCs w:val="24"/>
        </w:rPr>
        <w:t>8、甲方交由乙方承运的所有货物需征收基于油价指数的燃油附加费，详情请登录乙方网址：www.         查询。</w:t>
      </w:r>
    </w:p>
    <w:p>
      <w:pPr>
        <w:spacing w:line="360" w:lineRule="auto"/>
        <w:ind w:firstLine="480" w:firstLineChars="200"/>
        <w:rPr>
          <w:rFonts w:cs="Calibri" w:eastAsiaTheme="minorEastAsia"/>
          <w:sz w:val="24"/>
          <w:szCs w:val="24"/>
        </w:rPr>
      </w:pPr>
      <w:r>
        <w:rPr>
          <w:rFonts w:cs="Calibri" w:eastAsiaTheme="minorEastAsia"/>
          <w:sz w:val="24"/>
          <w:szCs w:val="24"/>
        </w:rPr>
        <w:t>*9、乙方可以根据甲方需要并在收、发件地的海关及政府规定允许的情况下，为甲方提供Duties &amp; Taxes Paid（DTP）贸易方式结算，对于出口DTP服务乙方将对每票货物收取相应手续费。手续费费率见本合同附件1。</w:t>
      </w:r>
    </w:p>
    <w:p>
      <w:pPr>
        <w:spacing w:line="360" w:lineRule="auto"/>
        <w:ind w:firstLine="480" w:firstLineChars="200"/>
        <w:rPr>
          <w:rFonts w:cs="Calibri" w:eastAsiaTheme="minorEastAsia"/>
          <w:sz w:val="24"/>
          <w:szCs w:val="24"/>
        </w:rPr>
      </w:pPr>
    </w:p>
    <w:p>
      <w:pPr>
        <w:pStyle w:val="168"/>
        <w:spacing w:line="360" w:lineRule="auto"/>
        <w:ind w:firstLine="480" w:firstLineChars="200"/>
        <w:rPr>
          <w:rFonts w:ascii="Calibri" w:hAnsi="Calibri" w:cs="Calibri" w:eastAsiaTheme="minorEastAsia"/>
          <w:sz w:val="24"/>
          <w:szCs w:val="24"/>
        </w:rPr>
      </w:pPr>
      <w:r>
        <w:rPr>
          <w:rFonts w:ascii="Calibri" w:hAnsi="Calibri" w:cs="Calibri" w:eastAsiaTheme="minorEastAsia"/>
          <w:sz w:val="24"/>
          <w:szCs w:val="24"/>
        </w:rPr>
        <w:t>*10、对于乙方已揽件，但还未实际起运出境的货物，乙方应提供撤回服务。甲方在向乙方提出撤回申请时，乙方应告知发件人需要承担撤回的费用并告知费用标准，经甲方确认后，乙方提供撤回服务，撤回费用随当月账单按月结算。</w:t>
      </w:r>
    </w:p>
    <w:p>
      <w:pPr>
        <w:pStyle w:val="168"/>
        <w:spacing w:line="360" w:lineRule="auto"/>
        <w:ind w:firstLine="480" w:firstLineChars="200"/>
        <w:rPr>
          <w:rFonts w:ascii="Calibri" w:hAnsi="Calibri" w:cs="Calibri" w:eastAsiaTheme="minorEastAsia"/>
          <w:sz w:val="24"/>
          <w:szCs w:val="24"/>
        </w:rPr>
      </w:pPr>
      <w:r>
        <w:rPr>
          <w:rFonts w:ascii="Calibri" w:hAnsi="Calibri" w:cs="Calibri" w:eastAsiaTheme="minorEastAsia"/>
          <w:sz w:val="24"/>
          <w:szCs w:val="24"/>
        </w:rPr>
        <w:t>*11、因出现甲方提供的收件地址不清晰、错误或是甲方要求变更收件地址等特殊情况，甲方应支付由此产生的额外费用，具体额外费用将依乙方提供甲方优惠折扣价格（含偏远地区服务费）。如额外费用超出乙方提供甲方优惠折扣价格（含偏远地区服务费），甲乙双方应先协商确定，甲方根据协商所确定金额向乙方支付。</w:t>
      </w:r>
    </w:p>
    <w:p>
      <w:pPr>
        <w:pStyle w:val="184"/>
        <w:spacing w:line="360" w:lineRule="auto"/>
        <w:rPr>
          <w:rFonts w:hint="default" w:ascii="Calibri" w:hAnsi="Calibri" w:cs="Calibri" w:eastAsiaTheme="minorEastAsia"/>
          <w:b/>
          <w:sz w:val="24"/>
          <w:szCs w:val="24"/>
        </w:rPr>
      </w:pPr>
      <w:r>
        <w:rPr>
          <w:rFonts w:hint="default" w:ascii="Calibri" w:hAnsi="Calibri" w:cs="Calibri" w:eastAsiaTheme="minorEastAsia"/>
          <w:b/>
          <w:sz w:val="24"/>
          <w:szCs w:val="24"/>
        </w:rPr>
        <w:t>四、关于跨年度乙方公开报价调整方案</w:t>
      </w:r>
    </w:p>
    <w:p>
      <w:pPr>
        <w:spacing w:line="360" w:lineRule="auto"/>
        <w:ind w:firstLine="480" w:firstLineChars="200"/>
        <w:rPr>
          <w:rFonts w:cs="Calibri" w:eastAsiaTheme="minorEastAsia"/>
          <w:sz w:val="24"/>
          <w:szCs w:val="24"/>
        </w:rPr>
      </w:pPr>
      <w:r>
        <w:rPr>
          <w:rFonts w:cs="Calibri" w:eastAsiaTheme="minorEastAsia"/>
          <w:sz w:val="24"/>
          <w:szCs w:val="24"/>
        </w:rPr>
        <w:t>*1、乙方应在每年度的自然年结束前15个工作日，以书面形式通知甲方跨年度乙方公开报价调整方案，并就方案内容与甲方协商。如果双方协商在15个工作日就调整方案内容达成一致的，则双方就本合同附件1予以书面变更。</w:t>
      </w:r>
    </w:p>
    <w:p>
      <w:pPr>
        <w:spacing w:line="360" w:lineRule="auto"/>
        <w:ind w:firstLine="480" w:firstLineChars="200"/>
        <w:rPr>
          <w:rFonts w:cs="Calibri" w:eastAsiaTheme="minorEastAsia"/>
          <w:sz w:val="24"/>
          <w:szCs w:val="24"/>
        </w:rPr>
      </w:pPr>
      <w:r>
        <w:rPr>
          <w:rFonts w:cs="Calibri" w:eastAsiaTheme="minorEastAsia"/>
          <w:sz w:val="24"/>
          <w:szCs w:val="24"/>
        </w:rPr>
        <w:t>*2、如果双方协商在15个工作日内未就调整方案内容达成一致，则本协议于乙方公开报价新调整方案生效前一日终止。因该原因导致合同终止的，任何一方不负违约责任。如果乙方未在上述规定期限内通知甲方，或者乙方无运费调整，则仍然按照仍生效的合同附件1约定的上一年运费费率标准计价。</w:t>
      </w:r>
    </w:p>
    <w:p>
      <w:pPr>
        <w:spacing w:line="360" w:lineRule="auto"/>
        <w:rPr>
          <w:rFonts w:cs="Calibri" w:eastAsiaTheme="minorEastAsia"/>
          <w:sz w:val="24"/>
          <w:szCs w:val="24"/>
        </w:rPr>
      </w:pPr>
      <w:r>
        <w:rPr>
          <w:rFonts w:cs="Calibri" w:eastAsiaTheme="minorEastAsia"/>
          <w:b/>
          <w:sz w:val="24"/>
          <w:szCs w:val="24"/>
        </w:rPr>
        <w:t>五、账单出具及付款</w:t>
      </w:r>
    </w:p>
    <w:p>
      <w:pPr>
        <w:autoSpaceDE w:val="0"/>
        <w:autoSpaceDN w:val="0"/>
        <w:spacing w:line="360" w:lineRule="auto"/>
        <w:ind w:firstLine="480" w:firstLineChars="200"/>
        <w:rPr>
          <w:rFonts w:cs="Calibri" w:eastAsiaTheme="minorEastAsia"/>
          <w:sz w:val="24"/>
          <w:szCs w:val="24"/>
        </w:rPr>
      </w:pPr>
      <w:r>
        <w:rPr>
          <w:rFonts w:cs="Calibri" w:eastAsiaTheme="minorEastAsia"/>
          <w:sz w:val="24"/>
          <w:szCs w:val="24"/>
        </w:rPr>
        <w:t>*1、甲方应按照本合同约定就其在本合同项下开设的快递服务账号（详见本合同附件1）下运输的所有货物支付运费、发件地及目的地关税、税金(如有)等款项。</w:t>
      </w:r>
    </w:p>
    <w:p>
      <w:pPr>
        <w:autoSpaceDE w:val="0"/>
        <w:autoSpaceDN w:val="0"/>
        <w:spacing w:line="360" w:lineRule="auto"/>
        <w:ind w:firstLine="480" w:firstLineChars="200"/>
        <w:rPr>
          <w:rFonts w:cs="Calibri" w:eastAsiaTheme="minorEastAsia"/>
          <w:sz w:val="24"/>
          <w:szCs w:val="24"/>
        </w:rPr>
      </w:pPr>
      <w:r>
        <w:rPr>
          <w:rFonts w:cs="Calibri" w:eastAsiaTheme="minorEastAsia"/>
          <w:sz w:val="24"/>
          <w:szCs w:val="24"/>
        </w:rPr>
        <w:t xml:space="preserve">*2、甲方享有乙方给予每个账号每个自然月人民币 </w:t>
      </w:r>
      <w:r>
        <w:rPr>
          <w:rFonts w:cs="Calibri" w:eastAsiaTheme="minorEastAsia"/>
          <w:sz w:val="24"/>
          <w:szCs w:val="24"/>
          <w:highlight w:val="yellow"/>
        </w:rPr>
        <w:t>XXXXX</w:t>
      </w:r>
      <w:r>
        <w:rPr>
          <w:rFonts w:cs="Calibri" w:eastAsiaTheme="minorEastAsia"/>
          <w:sz w:val="24"/>
          <w:szCs w:val="24"/>
        </w:rPr>
        <w:t>元的赊销业务额度。乙方可根据甲方的业务情况调整此赊销业务额度。调整前应及时告知甲方，并得到甲方书面同意。</w:t>
      </w:r>
    </w:p>
    <w:p>
      <w:pPr>
        <w:spacing w:line="360" w:lineRule="auto"/>
        <w:ind w:firstLine="480" w:firstLineChars="200"/>
        <w:rPr>
          <w:rFonts w:cs="Calibri" w:eastAsiaTheme="minorEastAsia"/>
          <w:sz w:val="24"/>
          <w:szCs w:val="24"/>
        </w:rPr>
      </w:pPr>
      <w:r>
        <w:rPr>
          <w:rFonts w:cs="Calibri" w:eastAsiaTheme="minorEastAsia"/>
          <w:sz w:val="24"/>
          <w:szCs w:val="24"/>
        </w:rPr>
        <w:t>*3、乙方应按月向甲方出具增值税专用发票及账单。乙方于每月五日之前根据上一月乙方为甲方货物提供的运输服务量向甲方联系人提供结算清单。甲方联系人在收到该结算清单后五个工作日内应对该结算清单的应付款项金额进行核实确认，对确认无误的款项甲方应及时通知乙方开具相应金额的发票。如在收到该发票后三个工作日内甲方未对该发票上所示金额提出任何异议的，将视作对该发票所示金额的接受和确认，甲方应在收到发票之日起十五个日历日内（周六、周日和中国大陆法定节假日均计算在内）支付相应费用。</w:t>
      </w:r>
    </w:p>
    <w:p>
      <w:pPr>
        <w:spacing w:line="360" w:lineRule="auto"/>
        <w:ind w:firstLine="480" w:firstLineChars="200"/>
        <w:rPr>
          <w:rFonts w:hint="eastAsia" w:cs="Calibri" w:eastAsiaTheme="minorEastAsia"/>
          <w:sz w:val="24"/>
          <w:szCs w:val="24"/>
          <w:lang w:val="en-US" w:eastAsia="zh-CN"/>
        </w:rPr>
      </w:pPr>
      <w:r>
        <w:rPr>
          <w:rFonts w:hint="eastAsia" w:cs="Calibri" w:eastAsiaTheme="minorEastAsia"/>
          <w:sz w:val="24"/>
          <w:szCs w:val="24"/>
          <w:lang w:val="en-US" w:eastAsia="zh-CN"/>
        </w:rPr>
        <w:t>甲方付款信息如下：</w:t>
      </w:r>
    </w:p>
    <w:p>
      <w:pPr>
        <w:spacing w:line="360" w:lineRule="auto"/>
        <w:ind w:firstLine="480" w:firstLineChars="200"/>
        <w:rPr>
          <w:rFonts w:hint="eastAsia" w:cs="Calibri" w:eastAsiaTheme="minorEastAsia"/>
          <w:sz w:val="24"/>
          <w:szCs w:val="24"/>
          <w:lang w:val="en-US" w:eastAsia="zh-CN"/>
        </w:rPr>
      </w:pPr>
    </w:p>
    <w:p>
      <w:pPr>
        <w:spacing w:line="360" w:lineRule="auto"/>
        <w:ind w:firstLine="480" w:firstLineChars="200"/>
        <w:rPr>
          <w:rFonts w:hint="eastAsia" w:cs="Calibri" w:eastAsiaTheme="minorEastAsia"/>
          <w:sz w:val="24"/>
          <w:szCs w:val="24"/>
          <w:lang w:val="en-US" w:eastAsia="zh-CN"/>
        </w:rPr>
      </w:pPr>
      <w:r>
        <w:rPr>
          <w:rFonts w:hint="eastAsia" w:cs="Calibri" w:eastAsiaTheme="minorEastAsia"/>
          <w:sz w:val="24"/>
          <w:szCs w:val="24"/>
          <w:lang w:val="en-US" w:eastAsia="zh-CN"/>
        </w:rPr>
        <w:t>乙方开票信息如下：</w:t>
      </w:r>
    </w:p>
    <w:p>
      <w:pPr>
        <w:spacing w:line="360" w:lineRule="auto"/>
        <w:ind w:firstLine="480" w:firstLineChars="200"/>
        <w:rPr>
          <w:rFonts w:hint="default" w:cs="Calibri" w:eastAsiaTheme="minorEastAsia"/>
          <w:sz w:val="24"/>
          <w:szCs w:val="24"/>
          <w:lang w:val="en-US" w:eastAsia="zh-CN"/>
        </w:rPr>
      </w:pPr>
    </w:p>
    <w:p>
      <w:pPr>
        <w:autoSpaceDE w:val="0"/>
        <w:autoSpaceDN w:val="0"/>
        <w:spacing w:line="360" w:lineRule="auto"/>
        <w:ind w:firstLine="480" w:firstLineChars="200"/>
        <w:rPr>
          <w:rFonts w:cs="Calibri" w:eastAsiaTheme="minorEastAsia"/>
          <w:sz w:val="24"/>
          <w:szCs w:val="24"/>
        </w:rPr>
      </w:pPr>
      <w:r>
        <w:rPr>
          <w:rFonts w:cs="Calibri" w:eastAsiaTheme="minorEastAsia"/>
          <w:sz w:val="24"/>
          <w:szCs w:val="24"/>
        </w:rPr>
        <w:t>*4、乙方在本合同项下的价格和成本是以人民币作为基准货币计算的、乙方以人民币出具发票和账单，甲方应以人民币支付。</w:t>
      </w:r>
    </w:p>
    <w:p>
      <w:pPr>
        <w:spacing w:line="360" w:lineRule="auto"/>
        <w:rPr>
          <w:rFonts w:cs="Calibri" w:eastAsiaTheme="minorEastAsia"/>
          <w:sz w:val="24"/>
          <w:szCs w:val="24"/>
        </w:rPr>
      </w:pPr>
      <w:r>
        <w:rPr>
          <w:rFonts w:cs="Calibri" w:eastAsiaTheme="minorEastAsia"/>
          <w:b/>
          <w:sz w:val="24"/>
          <w:szCs w:val="24"/>
        </w:rPr>
        <w:t>六、违约责任</w:t>
      </w:r>
    </w:p>
    <w:p>
      <w:pPr>
        <w:spacing w:line="360" w:lineRule="auto"/>
        <w:ind w:left="480"/>
        <w:jc w:val="left"/>
        <w:rPr>
          <w:rFonts w:cs="Calibri" w:eastAsiaTheme="minorEastAsia"/>
          <w:sz w:val="24"/>
          <w:szCs w:val="24"/>
        </w:rPr>
      </w:pPr>
      <w:r>
        <w:rPr>
          <w:rFonts w:cs="Calibri" w:eastAsiaTheme="minorEastAsia"/>
          <w:sz w:val="24"/>
          <w:szCs w:val="24"/>
        </w:rPr>
        <w:t>*1、因乙方违约给甲方造成损害的，乙方应给予损害赔偿。</w:t>
      </w:r>
    </w:p>
    <w:p>
      <w:pPr>
        <w:spacing w:line="360" w:lineRule="auto"/>
        <w:ind w:firstLine="480" w:firstLineChars="200"/>
        <w:rPr>
          <w:rFonts w:cs="Calibri" w:eastAsiaTheme="minorEastAsia"/>
          <w:sz w:val="24"/>
          <w:szCs w:val="24"/>
        </w:rPr>
      </w:pPr>
      <w:r>
        <w:rPr>
          <w:rFonts w:cs="Calibri" w:eastAsiaTheme="minorEastAsia"/>
          <w:sz w:val="24"/>
          <w:szCs w:val="24"/>
        </w:rPr>
        <w:t>*2、本合同项下快递延误是指快递的运输服务时间超出在本合同约定乙方承诺的最长服务时限，乙方应对快件运输延误而导致的任何损失或损害承担相应责任。乙方快递运输延误的赔偿原则如下：</w:t>
      </w:r>
    </w:p>
    <w:p>
      <w:pPr>
        <w:spacing w:line="360" w:lineRule="auto"/>
        <w:ind w:firstLine="480" w:firstLineChars="200"/>
        <w:rPr>
          <w:rFonts w:cs="Calibri" w:eastAsiaTheme="minorEastAsia"/>
          <w:sz w:val="24"/>
          <w:szCs w:val="24"/>
        </w:rPr>
      </w:pPr>
      <w:r>
        <w:rPr>
          <w:rFonts w:cs="Calibri" w:eastAsiaTheme="minorEastAsia"/>
          <w:sz w:val="24"/>
          <w:szCs w:val="24"/>
        </w:rPr>
        <w:t>*a）如果货物的收费重量小于150公斤，乙方免除本次服务费用。如果货物的收费重量大于150公斤，则乙方只需要支付150公斤以上部分重量产生的服务费用，并继续履行完成快递服务义务。</w:t>
      </w:r>
    </w:p>
    <w:p>
      <w:pPr>
        <w:spacing w:line="360" w:lineRule="auto"/>
        <w:ind w:firstLine="480" w:firstLineChars="200"/>
        <w:rPr>
          <w:rFonts w:cs="Calibri" w:eastAsiaTheme="minorEastAsia"/>
          <w:sz w:val="24"/>
          <w:szCs w:val="24"/>
        </w:rPr>
      </w:pPr>
      <w:r>
        <w:rPr>
          <w:rFonts w:cs="Calibri" w:eastAsiaTheme="minorEastAsia"/>
          <w:sz w:val="24"/>
          <w:szCs w:val="24"/>
        </w:rPr>
        <w:t>*b）在本合同履行期间，若乙方连续6个月内延误率超过百万分之2.42的，甲方有权解除本合同；</w:t>
      </w:r>
    </w:p>
    <w:p>
      <w:pPr>
        <w:spacing w:line="360" w:lineRule="auto"/>
        <w:ind w:firstLine="480" w:firstLineChars="200"/>
        <w:rPr>
          <w:rFonts w:cs="Calibri" w:eastAsiaTheme="minorEastAsia"/>
          <w:sz w:val="24"/>
          <w:szCs w:val="24"/>
        </w:rPr>
      </w:pPr>
      <w:r>
        <w:rPr>
          <w:rFonts w:cs="Calibri" w:eastAsiaTheme="minorEastAsia"/>
          <w:sz w:val="24"/>
          <w:szCs w:val="24"/>
        </w:rPr>
        <w:t>延误率=（延误的票数/连续6个月内的总票数）*百万分之一百万</w:t>
      </w:r>
    </w:p>
    <w:p>
      <w:pPr>
        <w:spacing w:line="360" w:lineRule="auto"/>
        <w:ind w:firstLine="480" w:firstLineChars="200"/>
        <w:rPr>
          <w:rFonts w:cs="Calibri" w:eastAsiaTheme="minorEastAsia"/>
          <w:sz w:val="24"/>
          <w:szCs w:val="24"/>
        </w:rPr>
      </w:pPr>
      <w:r>
        <w:rPr>
          <w:rFonts w:cs="Calibri" w:eastAsiaTheme="minorEastAsia"/>
          <w:sz w:val="24"/>
          <w:szCs w:val="24"/>
        </w:rPr>
        <w:t>票数：每个分运单为一票。</w:t>
      </w:r>
    </w:p>
    <w:p>
      <w:pPr>
        <w:spacing w:line="360" w:lineRule="auto"/>
        <w:ind w:firstLine="480" w:firstLineChars="200"/>
        <w:rPr>
          <w:rFonts w:cs="Calibri" w:eastAsiaTheme="minorEastAsia"/>
          <w:sz w:val="24"/>
          <w:szCs w:val="24"/>
        </w:rPr>
      </w:pPr>
      <w:r>
        <w:rPr>
          <w:rFonts w:cs="Calibri" w:eastAsiaTheme="minorEastAsia"/>
          <w:sz w:val="24"/>
          <w:szCs w:val="24"/>
        </w:rPr>
        <w:t>*3、对于乙方承运的快递运输在运输中出现毁损或灭失，乙方的赔偿原则如下：</w:t>
      </w:r>
    </w:p>
    <w:p>
      <w:pPr>
        <w:spacing w:line="360" w:lineRule="auto"/>
        <w:ind w:firstLine="480" w:firstLineChars="200"/>
        <w:rPr>
          <w:rFonts w:cs="Calibri" w:eastAsiaTheme="minorEastAsia"/>
          <w:sz w:val="24"/>
          <w:szCs w:val="24"/>
        </w:rPr>
      </w:pPr>
      <w:r>
        <w:rPr>
          <w:rFonts w:cs="Calibri" w:eastAsiaTheme="minorEastAsia"/>
          <w:sz w:val="24"/>
          <w:szCs w:val="24"/>
        </w:rPr>
        <w:t>*a)发件人和/或收件人委托乙方购买保险的快递，快递在运输途中由外在因素导致的毁损、灭失(不含间接损失)将得到赔偿。赔偿金额为：“被保险金额+运费”。</w:t>
      </w:r>
    </w:p>
    <w:p>
      <w:pPr>
        <w:spacing w:line="360" w:lineRule="auto"/>
        <w:ind w:firstLine="480" w:firstLineChars="200"/>
        <w:rPr>
          <w:rFonts w:cs="Calibri" w:eastAsiaTheme="minorEastAsia"/>
          <w:sz w:val="24"/>
          <w:szCs w:val="24"/>
        </w:rPr>
      </w:pPr>
      <w:r>
        <w:rPr>
          <w:rFonts w:cs="Calibri" w:eastAsiaTheme="minorEastAsia"/>
          <w:sz w:val="24"/>
          <w:szCs w:val="24"/>
        </w:rPr>
        <w:t xml:space="preserve">*b)对于发件人和/或收件人没有委托乙方购买保险的快件，按照本合同附件2《快递运输条款与条件》中约定的赔偿条款进行赔偿并免除本次服务费用。 </w:t>
      </w:r>
    </w:p>
    <w:p>
      <w:pPr>
        <w:spacing w:line="360" w:lineRule="auto"/>
        <w:ind w:firstLine="480" w:firstLineChars="200"/>
        <w:rPr>
          <w:rFonts w:cs="Calibri" w:eastAsiaTheme="minorEastAsia"/>
          <w:sz w:val="24"/>
          <w:szCs w:val="24"/>
        </w:rPr>
      </w:pPr>
      <w:r>
        <w:rPr>
          <w:rFonts w:cs="Calibri" w:eastAsiaTheme="minorEastAsia"/>
          <w:sz w:val="24"/>
          <w:szCs w:val="24"/>
        </w:rPr>
        <w:t>*4、受理索赔期限</w:t>
      </w:r>
    </w:p>
    <w:p>
      <w:pPr>
        <w:spacing w:line="360" w:lineRule="auto"/>
        <w:ind w:firstLine="480" w:firstLineChars="200"/>
        <w:jc w:val="left"/>
        <w:rPr>
          <w:rFonts w:cs="Calibri" w:eastAsiaTheme="minorEastAsia"/>
          <w:sz w:val="24"/>
          <w:szCs w:val="24"/>
        </w:rPr>
      </w:pPr>
      <w:r>
        <w:rPr>
          <w:rFonts w:cs="Calibri" w:eastAsiaTheme="minorEastAsia"/>
          <w:sz w:val="24"/>
          <w:szCs w:val="24"/>
        </w:rPr>
        <w:t>所有争议快递，乙方应在收到发件人和/或收件人有关快递延迟或毁损、灭失、没收申诉后30天给予书面形式的回复确认，发件人和/或收件人需在收到乙方关于快递延迟或毁损、灭失、没收的通知或回复确认后30天之内以书面形式向乙方提出索赔，乙方受理索赔期限应为收寄快递之日起1年内。</w:t>
      </w:r>
    </w:p>
    <w:p>
      <w:pPr>
        <w:spacing w:line="360" w:lineRule="auto"/>
        <w:ind w:firstLine="480" w:firstLineChars="200"/>
        <w:rPr>
          <w:rFonts w:cs="Calibri" w:eastAsiaTheme="minorEastAsia"/>
          <w:sz w:val="24"/>
          <w:szCs w:val="24"/>
        </w:rPr>
      </w:pPr>
      <w:r>
        <w:rPr>
          <w:rFonts w:cs="Calibri" w:eastAsiaTheme="minorEastAsia"/>
          <w:sz w:val="24"/>
          <w:szCs w:val="24"/>
        </w:rPr>
        <w:t>*5、对于乙方承运的快递运输在运输中出现毁损或灭失，因乙方原因导致甲方未能在甲方与保险承保人之间的保险合同中约定的时间内通知承保人或超过保险合同中约定的承保责任起讫等导致甲方无法获得理赔的，乙方应承担赔偿，赔偿金额为：“被保险金额+运费”。</w:t>
      </w:r>
    </w:p>
    <w:p>
      <w:pPr>
        <w:spacing w:line="360" w:lineRule="auto"/>
        <w:ind w:firstLine="480" w:firstLineChars="200"/>
        <w:rPr>
          <w:rFonts w:cs="Calibri" w:eastAsiaTheme="minorEastAsia"/>
          <w:sz w:val="24"/>
          <w:szCs w:val="24"/>
        </w:rPr>
      </w:pPr>
      <w:r>
        <w:rPr>
          <w:rFonts w:cs="Calibri" w:eastAsiaTheme="minorEastAsia"/>
          <w:sz w:val="24"/>
          <w:szCs w:val="24"/>
        </w:rPr>
        <w:t>6、甲方未能按照本合同约定按时足额支付相应款项的，应就延迟支付的款项按日万分之四加收未按时支付乙方款项部分的违约金。若甲方超出赊销业务额度或违反本合同第四条约定或出现甲方过错导致账号使用不当的行为，乙方应先以书面（电子邮件，传真等）方式通知甲方改正。如甲方在收到通知十五日后未改正的，乙方有权采取以下救济措施：（1）取消或更改甲方所享有的信用安排；（2）要求甲方立即付款。</w:t>
      </w: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r>
        <w:rPr>
          <w:rFonts w:cs="Calibri" w:eastAsiaTheme="minorEastAsia"/>
          <w:sz w:val="24"/>
          <w:szCs w:val="24"/>
        </w:rPr>
        <w:t>*7、 因不可抗力导致任何一方不能履行义务的，无需承担责任。但遭受不可抗力的一方应尽早通知对方，并在不可抗力影响停止后尽快继续履行未尽的义务。</w:t>
      </w:r>
    </w:p>
    <w:p>
      <w:pPr>
        <w:pStyle w:val="3"/>
        <w:numPr>
          <w:ilvl w:val="-1"/>
          <w:numId w:val="0"/>
        </w:numPr>
        <w:rPr>
          <w:rFonts w:hint="eastAsia"/>
        </w:rPr>
      </w:pPr>
      <w:bookmarkStart w:id="13" w:name="_Toc402793711"/>
      <w:bookmarkStart w:id="14" w:name="_Toc18724"/>
      <w:r>
        <w:rPr>
          <w:rFonts w:hint="default" w:ascii="Calibri" w:hAnsi="Calibri" w:cs="Calibri" w:eastAsiaTheme="minorEastAsia"/>
          <w:kern w:val="2"/>
          <w:sz w:val="24"/>
          <w:szCs w:val="24"/>
          <w:lang w:val="en-US" w:eastAsia="zh-CN"/>
        </w:rPr>
        <w:t>七、</w:t>
      </w:r>
      <w:r>
        <w:rPr>
          <w:rFonts w:hint="default" w:ascii="Calibri" w:hAnsi="Calibri" w:cs="Calibri" w:eastAsiaTheme="minorEastAsia"/>
          <w:kern w:val="2"/>
          <w:sz w:val="24"/>
          <w:szCs w:val="24"/>
        </w:rPr>
        <w:t>联系与通知</w:t>
      </w:r>
      <w:bookmarkEnd w:id="13"/>
      <w:bookmarkEnd w:id="14"/>
    </w:p>
    <w:p>
      <w:pPr>
        <w:widowControl/>
        <w:spacing w:line="360" w:lineRule="auto"/>
        <w:ind w:firstLine="480" w:firstLineChars="200"/>
        <w:rPr>
          <w:rFonts w:hint="default" w:ascii="Calibri" w:hAnsi="Calibri" w:cs="Calibri" w:eastAsiaTheme="minorEastAsia"/>
          <w:sz w:val="24"/>
          <w:szCs w:val="24"/>
        </w:rPr>
      </w:pPr>
      <w:r>
        <w:rPr>
          <w:rFonts w:hint="default" w:ascii="Calibri" w:hAnsi="Calibri" w:cs="Calibri" w:eastAsiaTheme="minorEastAsia"/>
          <w:b w:val="0"/>
          <w:bCs w:val="0"/>
          <w:color w:val="000000"/>
          <w:sz w:val="24"/>
          <w:szCs w:val="24"/>
          <w:lang w:val="en-US" w:eastAsia="zh-CN"/>
        </w:rPr>
        <w:t>1、</w:t>
      </w:r>
      <w:r>
        <w:rPr>
          <w:rFonts w:hint="default" w:ascii="Calibri" w:hAnsi="Calibri" w:cs="Calibri" w:eastAsiaTheme="minorEastAsia"/>
          <w:b w:val="0"/>
          <w:bCs w:val="0"/>
          <w:color w:val="000000"/>
          <w:sz w:val="24"/>
          <w:szCs w:val="24"/>
        </w:rPr>
        <w:t>联系方式</w:t>
      </w:r>
    </w:p>
    <w:p>
      <w:pPr>
        <w:spacing w:line="360" w:lineRule="auto"/>
        <w:ind w:firstLine="480" w:firstLineChars="200"/>
        <w:textAlignment w:val="auto"/>
        <w:rPr>
          <w:rFonts w:hint="default" w:ascii="Calibri" w:hAnsi="Calibri" w:cs="Calibri" w:eastAsiaTheme="minorEastAsia"/>
          <w:sz w:val="24"/>
          <w:szCs w:val="24"/>
        </w:rPr>
      </w:pPr>
      <w:r>
        <w:rPr>
          <w:rFonts w:hint="default" w:ascii="Calibri" w:hAnsi="Calibri" w:cs="Calibri" w:eastAsiaTheme="minorEastAsia"/>
          <w:sz w:val="24"/>
          <w:szCs w:val="24"/>
        </w:rPr>
        <w:t>双方分别指定如下人员为双方在履行本合同过程中的工作联络人，负责合同相关事务的履行与协调：</w:t>
      </w:r>
    </w:p>
    <w:tbl>
      <w:tblPr>
        <w:tblStyle w:val="54"/>
        <w:tblW w:w="7513" w:type="dxa"/>
        <w:tblInd w:w="9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2906"/>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1" w:type="dxa"/>
            <w:vAlign w:val="center"/>
          </w:tcPr>
          <w:p>
            <w:pPr>
              <w:spacing w:line="360" w:lineRule="auto"/>
              <w:ind w:firstLine="480" w:firstLineChars="200"/>
              <w:jc w:val="left"/>
              <w:textAlignment w:val="auto"/>
              <w:rPr>
                <w:rFonts w:hint="default" w:ascii="Calibri" w:hAnsi="Calibri" w:cs="Calibri" w:eastAsiaTheme="minorEastAsia"/>
                <w:sz w:val="24"/>
                <w:szCs w:val="24"/>
              </w:rPr>
            </w:pPr>
            <w:bookmarkStart w:id="15" w:name="_Hlk44449785"/>
          </w:p>
        </w:tc>
        <w:tc>
          <w:tcPr>
            <w:tcW w:w="2906" w:type="dxa"/>
            <w:vAlign w:val="center"/>
          </w:tcPr>
          <w:p>
            <w:pPr>
              <w:spacing w:line="360" w:lineRule="auto"/>
              <w:ind w:firstLine="480" w:firstLineChars="200"/>
              <w:jc w:val="left"/>
              <w:textAlignment w:val="auto"/>
              <w:rPr>
                <w:rFonts w:hint="default" w:ascii="Calibri" w:hAnsi="Calibri" w:cs="Calibri" w:eastAsiaTheme="minorEastAsia"/>
                <w:sz w:val="24"/>
                <w:szCs w:val="24"/>
              </w:rPr>
            </w:pPr>
            <w:r>
              <w:rPr>
                <w:rFonts w:hint="default" w:ascii="Calibri" w:hAnsi="Calibri" w:cs="Calibri" w:eastAsiaTheme="minorEastAsia"/>
                <w:sz w:val="24"/>
                <w:szCs w:val="24"/>
              </w:rPr>
              <w:t>甲方</w:t>
            </w:r>
          </w:p>
        </w:tc>
        <w:tc>
          <w:tcPr>
            <w:tcW w:w="2906" w:type="dxa"/>
            <w:vAlign w:val="center"/>
          </w:tcPr>
          <w:p>
            <w:pPr>
              <w:spacing w:line="360" w:lineRule="auto"/>
              <w:ind w:firstLine="480" w:firstLineChars="200"/>
              <w:jc w:val="left"/>
              <w:textAlignment w:val="auto"/>
              <w:rPr>
                <w:rFonts w:hint="default" w:ascii="Calibri" w:hAnsi="Calibri" w:cs="Calibri" w:eastAsiaTheme="minorEastAsia"/>
                <w:sz w:val="24"/>
                <w:szCs w:val="24"/>
              </w:rPr>
            </w:pPr>
            <w:r>
              <w:rPr>
                <w:rFonts w:hint="default" w:ascii="Calibri" w:hAnsi="Calibri" w:cs="Calibri" w:eastAsiaTheme="minorEastAsia"/>
                <w:sz w:val="24"/>
                <w:szCs w:val="24"/>
              </w:rPr>
              <w:t>乙方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1" w:type="dxa"/>
            <w:vAlign w:val="top"/>
          </w:tcPr>
          <w:p>
            <w:pPr>
              <w:spacing w:line="360" w:lineRule="auto"/>
              <w:ind w:firstLine="480" w:firstLineChars="200"/>
              <w:jc w:val="left"/>
              <w:textAlignment w:val="auto"/>
              <w:rPr>
                <w:rFonts w:hint="default" w:ascii="Calibri" w:hAnsi="Calibri" w:cs="Calibri" w:eastAsiaTheme="minorEastAsia"/>
                <w:sz w:val="24"/>
                <w:szCs w:val="24"/>
              </w:rPr>
            </w:pPr>
            <w:r>
              <w:rPr>
                <w:rFonts w:hint="default" w:ascii="Calibri" w:hAnsi="Calibri" w:cs="Calibri" w:eastAsiaTheme="minorEastAsia"/>
                <w:sz w:val="24"/>
                <w:szCs w:val="24"/>
              </w:rPr>
              <w:t>地址</w:t>
            </w: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1" w:type="dxa"/>
            <w:vAlign w:val="top"/>
          </w:tcPr>
          <w:p>
            <w:pPr>
              <w:spacing w:line="360" w:lineRule="auto"/>
              <w:ind w:firstLine="480" w:firstLineChars="200"/>
              <w:jc w:val="left"/>
              <w:textAlignment w:val="auto"/>
              <w:rPr>
                <w:rFonts w:hint="default" w:ascii="Calibri" w:hAnsi="Calibri" w:cs="Calibri" w:eastAsiaTheme="minorEastAsia"/>
                <w:sz w:val="24"/>
                <w:szCs w:val="24"/>
              </w:rPr>
            </w:pPr>
            <w:r>
              <w:rPr>
                <w:rFonts w:hint="default" w:ascii="Calibri" w:hAnsi="Calibri" w:cs="Calibri" w:eastAsiaTheme="minorEastAsia"/>
                <w:sz w:val="24"/>
                <w:szCs w:val="24"/>
              </w:rPr>
              <w:t>联系人</w:t>
            </w: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1" w:type="dxa"/>
            <w:vAlign w:val="top"/>
          </w:tcPr>
          <w:p>
            <w:pPr>
              <w:spacing w:line="360" w:lineRule="auto"/>
              <w:ind w:firstLine="480" w:firstLineChars="200"/>
              <w:jc w:val="left"/>
              <w:textAlignment w:val="auto"/>
              <w:rPr>
                <w:rFonts w:hint="default" w:ascii="Calibri" w:hAnsi="Calibri" w:cs="Calibri" w:eastAsiaTheme="minorEastAsia"/>
                <w:sz w:val="24"/>
                <w:szCs w:val="24"/>
              </w:rPr>
            </w:pPr>
            <w:r>
              <w:rPr>
                <w:rFonts w:hint="default" w:ascii="Calibri" w:hAnsi="Calibri" w:cs="Calibri" w:eastAsiaTheme="minorEastAsia"/>
                <w:sz w:val="24"/>
                <w:szCs w:val="24"/>
              </w:rPr>
              <w:t>电话</w:t>
            </w: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1" w:type="dxa"/>
            <w:vAlign w:val="top"/>
          </w:tcPr>
          <w:p>
            <w:pPr>
              <w:spacing w:line="360" w:lineRule="auto"/>
              <w:ind w:firstLine="480" w:firstLineChars="200"/>
              <w:jc w:val="left"/>
              <w:textAlignment w:val="auto"/>
              <w:rPr>
                <w:rFonts w:hint="default" w:ascii="Calibri" w:hAnsi="Calibri" w:cs="Calibri" w:eastAsiaTheme="minorEastAsia"/>
                <w:sz w:val="24"/>
                <w:szCs w:val="24"/>
              </w:rPr>
            </w:pPr>
            <w:r>
              <w:rPr>
                <w:rFonts w:hint="default" w:ascii="Calibri" w:hAnsi="Calibri" w:cs="Calibri" w:eastAsiaTheme="minorEastAsia"/>
                <w:sz w:val="24"/>
                <w:szCs w:val="24"/>
              </w:rPr>
              <w:t>手机</w:t>
            </w: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1" w:type="dxa"/>
            <w:vAlign w:val="top"/>
          </w:tcPr>
          <w:p>
            <w:pPr>
              <w:spacing w:line="360" w:lineRule="auto"/>
              <w:ind w:firstLine="480" w:firstLineChars="200"/>
              <w:jc w:val="left"/>
              <w:textAlignment w:val="auto"/>
              <w:rPr>
                <w:rFonts w:hint="default" w:ascii="Calibri" w:hAnsi="Calibri" w:cs="Calibri" w:eastAsiaTheme="minorEastAsia"/>
                <w:sz w:val="24"/>
                <w:szCs w:val="24"/>
              </w:rPr>
            </w:pPr>
            <w:r>
              <w:rPr>
                <w:rFonts w:hint="default" w:ascii="Calibri" w:hAnsi="Calibri" w:cs="Calibri" w:eastAsiaTheme="minorEastAsia"/>
                <w:sz w:val="24"/>
                <w:szCs w:val="24"/>
              </w:rPr>
              <w:t>传真</w:t>
            </w: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1" w:type="dxa"/>
            <w:vAlign w:val="top"/>
          </w:tcPr>
          <w:p>
            <w:pPr>
              <w:spacing w:line="360" w:lineRule="auto"/>
              <w:ind w:firstLine="480" w:firstLineChars="200"/>
              <w:jc w:val="left"/>
              <w:textAlignment w:val="auto"/>
              <w:rPr>
                <w:rFonts w:hint="default" w:ascii="Calibri" w:hAnsi="Calibri" w:cs="Calibri" w:eastAsiaTheme="minorEastAsia"/>
                <w:sz w:val="24"/>
                <w:szCs w:val="24"/>
              </w:rPr>
            </w:pPr>
            <w:r>
              <w:rPr>
                <w:rFonts w:hint="default" w:ascii="Calibri" w:hAnsi="Calibri" w:cs="Calibri" w:eastAsiaTheme="minorEastAsia"/>
                <w:sz w:val="24"/>
                <w:szCs w:val="24"/>
              </w:rPr>
              <w:t>电子邮件</w:t>
            </w: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c>
          <w:tcPr>
            <w:tcW w:w="2906" w:type="dxa"/>
            <w:vAlign w:val="top"/>
          </w:tcPr>
          <w:p>
            <w:pPr>
              <w:spacing w:line="360" w:lineRule="auto"/>
              <w:ind w:firstLine="480" w:firstLineChars="200"/>
              <w:jc w:val="left"/>
              <w:textAlignment w:val="auto"/>
              <w:rPr>
                <w:rFonts w:hint="default" w:ascii="Calibri" w:hAnsi="Calibri" w:cs="Calibri" w:eastAsiaTheme="minorEastAsia"/>
                <w:sz w:val="24"/>
                <w:szCs w:val="24"/>
              </w:rPr>
            </w:pPr>
          </w:p>
        </w:tc>
      </w:tr>
      <w:bookmarkEnd w:id="15"/>
    </w:tbl>
    <w:p>
      <w:pPr>
        <w:spacing w:line="360" w:lineRule="auto"/>
        <w:ind w:firstLine="480" w:firstLineChars="200"/>
        <w:textAlignment w:val="auto"/>
        <w:rPr>
          <w:rFonts w:hint="default" w:ascii="Calibri" w:hAnsi="Calibri" w:cs="Calibri" w:eastAsiaTheme="minorEastAsia"/>
          <w:sz w:val="24"/>
          <w:szCs w:val="24"/>
        </w:rPr>
      </w:pPr>
    </w:p>
    <w:p>
      <w:pPr>
        <w:widowControl/>
        <w:spacing w:line="360" w:lineRule="auto"/>
        <w:ind w:firstLine="480" w:firstLineChars="200"/>
        <w:rPr>
          <w:rFonts w:hint="default" w:ascii="Calibri" w:hAnsi="Calibri" w:cs="Calibri" w:eastAsiaTheme="minorEastAsia"/>
          <w:sz w:val="24"/>
          <w:szCs w:val="24"/>
        </w:rPr>
      </w:pPr>
      <w:r>
        <w:rPr>
          <w:rFonts w:hint="default" w:ascii="Calibri" w:hAnsi="Calibri" w:cs="Calibri" w:eastAsiaTheme="minorEastAsia"/>
          <w:b w:val="0"/>
          <w:bCs w:val="0"/>
          <w:color w:val="000000"/>
          <w:sz w:val="24"/>
          <w:szCs w:val="24"/>
          <w:lang w:val="en-US" w:eastAsia="zh-CN"/>
        </w:rPr>
        <w:t>2、</w:t>
      </w:r>
      <w:r>
        <w:rPr>
          <w:rFonts w:hint="default" w:ascii="Calibri" w:hAnsi="Calibri" w:cs="Calibri" w:eastAsiaTheme="minorEastAsia"/>
          <w:b w:val="0"/>
          <w:bCs w:val="0"/>
          <w:color w:val="000000"/>
          <w:sz w:val="24"/>
          <w:szCs w:val="24"/>
        </w:rPr>
        <w:t>通知</w:t>
      </w:r>
    </w:p>
    <w:p>
      <w:pPr>
        <w:spacing w:line="360" w:lineRule="auto"/>
        <w:ind w:firstLine="480" w:firstLineChars="200"/>
        <w:textAlignment w:val="auto"/>
        <w:rPr>
          <w:rFonts w:hint="default" w:ascii="Calibri" w:hAnsi="Calibri" w:cs="Calibri" w:eastAsiaTheme="minorEastAsia"/>
          <w:sz w:val="24"/>
          <w:szCs w:val="24"/>
        </w:rPr>
      </w:pPr>
      <w:r>
        <w:rPr>
          <w:rFonts w:hint="default" w:ascii="Calibri" w:hAnsi="Calibri" w:cs="Calibri" w:eastAsiaTheme="minorEastAsia"/>
          <w:b w:val="0"/>
          <w:bCs w:val="0"/>
          <w:sz w:val="24"/>
          <w:szCs w:val="24"/>
        </w:rPr>
        <w:t>2.1</w:t>
      </w:r>
      <w:r>
        <w:rPr>
          <w:rFonts w:hint="default" w:ascii="Calibri" w:hAnsi="Calibri" w:cs="Calibri" w:eastAsiaTheme="minorEastAsia"/>
          <w:sz w:val="24"/>
          <w:szCs w:val="24"/>
        </w:rPr>
        <w:t xml:space="preserve"> 因履行本合同而向对方发出的所有通知（包括诉讼文书、仲裁文书等司法类文书），均按本合同</w:t>
      </w:r>
      <w:r>
        <w:rPr>
          <w:rFonts w:hint="default" w:ascii="Calibri" w:hAnsi="Calibri" w:cs="Calibri" w:eastAsiaTheme="minorEastAsia"/>
          <w:sz w:val="24"/>
          <w:szCs w:val="24"/>
          <w:lang w:val="en-US" w:eastAsia="zh-CN"/>
        </w:rPr>
        <w:t>本条</w:t>
      </w:r>
      <w:r>
        <w:rPr>
          <w:rFonts w:hint="default" w:ascii="Calibri" w:hAnsi="Calibri" w:cs="Calibri" w:eastAsiaTheme="minorEastAsia"/>
          <w:sz w:val="24"/>
          <w:szCs w:val="24"/>
        </w:rPr>
        <w:t>约定署明的地址和通讯方式并采用书面方式发送/送达。</w:t>
      </w:r>
    </w:p>
    <w:p>
      <w:pPr>
        <w:spacing w:line="360" w:lineRule="auto"/>
        <w:ind w:firstLine="480" w:firstLineChars="200"/>
        <w:textAlignment w:val="auto"/>
        <w:rPr>
          <w:rFonts w:hint="default" w:ascii="Calibri" w:hAnsi="Calibri" w:cs="Calibri" w:eastAsiaTheme="minorEastAsia"/>
          <w:sz w:val="24"/>
          <w:szCs w:val="24"/>
        </w:rPr>
      </w:pPr>
      <w:r>
        <w:rPr>
          <w:rFonts w:hint="default" w:ascii="Calibri" w:hAnsi="Calibri" w:cs="Calibri" w:eastAsiaTheme="minorEastAsia"/>
          <w:b w:val="0"/>
          <w:bCs w:val="0"/>
          <w:sz w:val="24"/>
          <w:szCs w:val="24"/>
        </w:rPr>
        <w:t>2.2</w:t>
      </w:r>
      <w:r>
        <w:rPr>
          <w:rFonts w:hint="default" w:ascii="Calibri" w:hAnsi="Calibri" w:cs="Calibri" w:eastAsiaTheme="minorEastAsia"/>
          <w:sz w:val="24"/>
          <w:szCs w:val="24"/>
        </w:rPr>
        <w:t>任何一方变更本合同约定的联系方式，应提前【五（5）】个工作日以书面形式通知其他方。未按本款约定进行通知的，其他方按照本合同约定指定的联系方式进行的发送/送达仍为有效。由此影响本合同履行或造成损失的，未履行通知义务的一方应承担相应的责任。</w:t>
      </w:r>
    </w:p>
    <w:p>
      <w:pPr>
        <w:spacing w:line="360" w:lineRule="auto"/>
        <w:ind w:firstLine="480" w:firstLineChars="200"/>
        <w:textAlignment w:val="auto"/>
        <w:rPr>
          <w:rFonts w:hint="default" w:ascii="Calibri" w:hAnsi="Calibri" w:cs="Calibri" w:eastAsiaTheme="minorEastAsia"/>
          <w:sz w:val="24"/>
          <w:szCs w:val="24"/>
        </w:rPr>
      </w:pPr>
      <w:r>
        <w:rPr>
          <w:rFonts w:hint="default" w:ascii="Calibri" w:hAnsi="Calibri" w:cs="Calibri" w:eastAsiaTheme="minorEastAsia"/>
          <w:b w:val="0"/>
          <w:bCs w:val="0"/>
          <w:sz w:val="24"/>
          <w:szCs w:val="24"/>
        </w:rPr>
        <w:t>2.3</w:t>
      </w:r>
      <w:r>
        <w:rPr>
          <w:rFonts w:hint="default" w:ascii="Calibri" w:hAnsi="Calibri" w:cs="Calibri" w:eastAsiaTheme="minorEastAsia"/>
          <w:sz w:val="24"/>
          <w:szCs w:val="24"/>
        </w:rPr>
        <w:t>该等通知或其他通信在下列情况下应被视为发送/送达：</w:t>
      </w:r>
    </w:p>
    <w:p>
      <w:pPr>
        <w:spacing w:line="360" w:lineRule="auto"/>
        <w:ind w:firstLine="480" w:firstLineChars="200"/>
        <w:textAlignment w:val="auto"/>
        <w:rPr>
          <w:rFonts w:hint="default" w:ascii="Calibri" w:hAnsi="Calibri" w:cs="Calibri" w:eastAsiaTheme="minorEastAsia"/>
          <w:sz w:val="24"/>
          <w:szCs w:val="24"/>
        </w:rPr>
      </w:pPr>
      <w:r>
        <w:rPr>
          <w:rFonts w:hint="default" w:ascii="Calibri" w:hAnsi="Calibri" w:cs="Calibri" w:eastAsiaTheme="minorEastAsia"/>
          <w:sz w:val="24"/>
          <w:szCs w:val="24"/>
        </w:rPr>
        <w:t>专人送达方式，递送当日视为发送/送达；</w:t>
      </w:r>
    </w:p>
    <w:p>
      <w:pPr>
        <w:spacing w:line="360" w:lineRule="auto"/>
        <w:ind w:firstLine="480" w:firstLineChars="200"/>
        <w:textAlignment w:val="auto"/>
        <w:rPr>
          <w:rFonts w:hint="default" w:ascii="Calibri" w:hAnsi="Calibri" w:cs="Calibri" w:eastAsiaTheme="minorEastAsia"/>
          <w:sz w:val="24"/>
          <w:szCs w:val="24"/>
        </w:rPr>
      </w:pPr>
      <w:r>
        <w:rPr>
          <w:rFonts w:hint="default" w:ascii="Calibri" w:hAnsi="Calibri" w:cs="Calibri" w:eastAsiaTheme="minorEastAsia"/>
          <w:sz w:val="24"/>
          <w:szCs w:val="24"/>
        </w:rPr>
        <w:t>信件或快递方式，收到当日视为发送/送达；</w:t>
      </w:r>
    </w:p>
    <w:p>
      <w:pPr>
        <w:spacing w:line="360" w:lineRule="auto"/>
        <w:ind w:firstLine="480" w:firstLineChars="200"/>
        <w:textAlignment w:val="auto"/>
        <w:rPr>
          <w:rFonts w:hint="default" w:ascii="Calibri" w:hAnsi="Calibri" w:cs="Calibri" w:eastAsiaTheme="minorEastAsia"/>
          <w:sz w:val="24"/>
          <w:szCs w:val="24"/>
        </w:rPr>
      </w:pPr>
      <w:r>
        <w:rPr>
          <w:rFonts w:hint="default" w:ascii="Calibri" w:hAnsi="Calibri" w:cs="Calibri" w:eastAsiaTheme="minorEastAsia"/>
          <w:sz w:val="24"/>
          <w:szCs w:val="24"/>
        </w:rPr>
        <w:t>传真方式，经传真机报告确认之时视为发送/送达；</w:t>
      </w:r>
    </w:p>
    <w:p>
      <w:pPr>
        <w:spacing w:line="360" w:lineRule="auto"/>
        <w:ind w:firstLine="480" w:firstLineChars="200"/>
        <w:textAlignment w:val="auto"/>
        <w:rPr>
          <w:rFonts w:hint="default" w:ascii="Calibri" w:hAnsi="Calibri" w:cs="Calibri" w:eastAsiaTheme="minorEastAsia"/>
          <w:sz w:val="24"/>
          <w:szCs w:val="24"/>
        </w:rPr>
      </w:pPr>
      <w:r>
        <w:rPr>
          <w:rFonts w:hint="default" w:ascii="Calibri" w:hAnsi="Calibri" w:cs="Calibri" w:eastAsiaTheme="minorEastAsia"/>
          <w:sz w:val="24"/>
          <w:szCs w:val="24"/>
        </w:rPr>
        <w:t>电子邮件方式，邮件系统提示已发送时视为发送/送达。</w:t>
      </w:r>
    </w:p>
    <w:p>
      <w:pPr>
        <w:spacing w:line="360" w:lineRule="auto"/>
        <w:ind w:firstLine="480" w:firstLineChars="200"/>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b/>
          <w:sz w:val="24"/>
          <w:szCs w:val="24"/>
          <w:lang w:val="en-US" w:eastAsia="zh-CN"/>
        </w:rPr>
        <w:t>八</w:t>
      </w:r>
      <w:r>
        <w:rPr>
          <w:rFonts w:cs="Calibri" w:eastAsiaTheme="minorEastAsia"/>
          <w:b/>
          <w:sz w:val="24"/>
          <w:szCs w:val="24"/>
        </w:rPr>
        <w:t>、保密</w:t>
      </w:r>
    </w:p>
    <w:p>
      <w:pPr>
        <w:adjustRightInd/>
        <w:snapToGrid/>
        <w:spacing w:line="360" w:lineRule="auto"/>
        <w:rPr>
          <w:rFonts w:hint="default" w:ascii="Calibri" w:hAnsi="Calibri" w:cs="Calibri" w:eastAsiaTheme="minorEastAsia"/>
          <w:spacing w:val="-10"/>
          <w:sz w:val="24"/>
          <w:szCs w:val="24"/>
        </w:rPr>
      </w:pPr>
      <w:r>
        <w:rPr>
          <w:rFonts w:cs="Calibri" w:eastAsiaTheme="minorEastAsia"/>
          <w:sz w:val="24"/>
          <w:szCs w:val="24"/>
        </w:rPr>
        <w:t>*1、</w:t>
      </w:r>
      <w:r>
        <w:rPr>
          <w:rFonts w:cs="Calibri" w:eastAsiaTheme="minorEastAsia"/>
          <w:spacing w:val="-10"/>
          <w:sz w:val="24"/>
          <w:szCs w:val="24"/>
        </w:rPr>
        <w:t>乙方应严格保守在本合同签订前后，所知悉甲方的商业秘密和与知识产权相关的保密事项，并不得向任何第三方</w:t>
      </w:r>
      <w:r>
        <w:rPr>
          <w:rFonts w:cs="Calibri" w:eastAsiaTheme="minorEastAsia"/>
          <w:sz w:val="24"/>
          <w:szCs w:val="24"/>
        </w:rPr>
        <w:t>披露，也不得在本合同以外使用对方的知识产权和商业秘密，更不得以任何形式转让、许可第三方使用。</w:t>
      </w:r>
      <w:r>
        <w:rPr>
          <w:rFonts w:hint="default" w:ascii="Calibri" w:hAnsi="Calibri" w:cs="Calibri" w:eastAsiaTheme="minorEastAsia"/>
          <w:spacing w:val="-10"/>
          <w:sz w:val="24"/>
          <w:szCs w:val="24"/>
        </w:rPr>
        <w:t>未经</w:t>
      </w:r>
      <w:r>
        <w:rPr>
          <w:rFonts w:hint="eastAsia" w:cs="Calibri" w:eastAsiaTheme="minorEastAsia"/>
          <w:spacing w:val="-10"/>
          <w:sz w:val="24"/>
          <w:szCs w:val="24"/>
          <w:lang w:val="en-US" w:eastAsia="zh-CN"/>
        </w:rPr>
        <w:t>甲方</w:t>
      </w:r>
      <w:r>
        <w:rPr>
          <w:rFonts w:hint="default" w:ascii="Calibri" w:hAnsi="Calibri" w:cs="Calibri" w:eastAsiaTheme="minorEastAsia"/>
          <w:spacing w:val="-10"/>
          <w:sz w:val="24"/>
          <w:szCs w:val="24"/>
        </w:rPr>
        <w:t>书面同意，</w:t>
      </w:r>
      <w:r>
        <w:rPr>
          <w:rFonts w:hint="eastAsia" w:cs="Calibri" w:eastAsiaTheme="minorEastAsia"/>
          <w:spacing w:val="-10"/>
          <w:sz w:val="24"/>
          <w:szCs w:val="24"/>
          <w:lang w:val="en-US" w:eastAsia="zh-CN"/>
        </w:rPr>
        <w:t>乙</w:t>
      </w:r>
      <w:r>
        <w:rPr>
          <w:rFonts w:hint="default" w:ascii="Calibri" w:hAnsi="Calibri" w:cs="Calibri" w:eastAsiaTheme="minorEastAsia"/>
          <w:spacing w:val="-10"/>
          <w:sz w:val="24"/>
          <w:szCs w:val="24"/>
        </w:rPr>
        <w:t>方不得擅自对外发布与合作内容有关的所有信息。未经</w:t>
      </w:r>
      <w:r>
        <w:rPr>
          <w:rFonts w:hint="eastAsia" w:cs="Calibri" w:eastAsiaTheme="minorEastAsia"/>
          <w:spacing w:val="-10"/>
          <w:sz w:val="24"/>
          <w:szCs w:val="24"/>
          <w:lang w:val="en-US" w:eastAsia="zh-CN"/>
        </w:rPr>
        <w:t>甲方</w:t>
      </w:r>
      <w:r>
        <w:rPr>
          <w:rFonts w:hint="default" w:ascii="Calibri" w:hAnsi="Calibri" w:cs="Calibri" w:eastAsiaTheme="minorEastAsia"/>
          <w:spacing w:val="-10"/>
          <w:sz w:val="24"/>
          <w:szCs w:val="24"/>
        </w:rPr>
        <w:t>书面同意，不得在对外发布时使用、复制和伪造中国商飞及</w:t>
      </w:r>
      <w:r>
        <w:rPr>
          <w:rFonts w:hint="eastAsia" w:cs="Calibri" w:eastAsiaTheme="minorEastAsia"/>
          <w:spacing w:val="-10"/>
          <w:sz w:val="24"/>
          <w:szCs w:val="24"/>
          <w:lang w:val="en-US" w:eastAsia="zh-CN"/>
        </w:rPr>
        <w:t>甲方</w:t>
      </w:r>
      <w:r>
        <w:rPr>
          <w:rFonts w:hint="default" w:ascii="Calibri" w:hAnsi="Calibri" w:cs="Calibri" w:eastAsiaTheme="minorEastAsia"/>
          <w:spacing w:val="-10"/>
          <w:sz w:val="24"/>
          <w:szCs w:val="24"/>
        </w:rPr>
        <w:t>已申请或注册的商标，包括中国商飞及</w:t>
      </w:r>
      <w:r>
        <w:rPr>
          <w:rFonts w:hint="eastAsia" w:cs="Calibri" w:eastAsiaTheme="minorEastAsia"/>
          <w:spacing w:val="-10"/>
          <w:sz w:val="24"/>
          <w:szCs w:val="24"/>
          <w:lang w:val="en-US" w:eastAsia="zh-CN"/>
        </w:rPr>
        <w:t>甲方</w:t>
      </w:r>
      <w:r>
        <w:rPr>
          <w:rFonts w:hint="default" w:ascii="Calibri" w:hAnsi="Calibri" w:cs="Calibri" w:eastAsiaTheme="minorEastAsia"/>
          <w:spacing w:val="-10"/>
          <w:sz w:val="24"/>
          <w:szCs w:val="24"/>
        </w:rPr>
        <w:t>公司名称、相关标识及项目名称，或与飞机、产品或服务有关的标识。</w:t>
      </w:r>
    </w:p>
    <w:p>
      <w:pPr>
        <w:widowControl/>
        <w:spacing w:line="360" w:lineRule="auto"/>
        <w:ind w:firstLine="480" w:firstLineChars="200"/>
        <w:jc w:val="left"/>
        <w:rPr>
          <w:rFonts w:cs="Calibri" w:eastAsiaTheme="minorEastAsia"/>
          <w:sz w:val="24"/>
          <w:szCs w:val="24"/>
        </w:rPr>
      </w:pPr>
    </w:p>
    <w:p>
      <w:pPr>
        <w:widowControl/>
        <w:spacing w:line="360" w:lineRule="auto"/>
        <w:ind w:firstLine="480" w:firstLineChars="200"/>
        <w:jc w:val="left"/>
        <w:rPr>
          <w:rFonts w:cs="Calibri" w:eastAsiaTheme="minorEastAsia"/>
          <w:sz w:val="24"/>
          <w:szCs w:val="24"/>
        </w:rPr>
      </w:pPr>
      <w:r>
        <w:rPr>
          <w:rFonts w:cs="Calibri" w:eastAsiaTheme="minorEastAsia"/>
          <w:sz w:val="24"/>
          <w:szCs w:val="24"/>
        </w:rPr>
        <w:t>*2、保密期限：自甲、乙双方为签订、履行本合同提供资料信息之日起，至该资料信息公开之日止。</w:t>
      </w:r>
    </w:p>
    <w:p>
      <w:pPr>
        <w:spacing w:line="360" w:lineRule="auto"/>
        <w:ind w:firstLine="480" w:firstLineChars="200"/>
        <w:outlineLvl w:val="0"/>
        <w:rPr>
          <w:rFonts w:cs="Calibri" w:eastAsiaTheme="minorEastAsia"/>
          <w:sz w:val="24"/>
          <w:szCs w:val="24"/>
        </w:rPr>
      </w:pPr>
      <w:r>
        <w:rPr>
          <w:rFonts w:cs="Calibri" w:eastAsiaTheme="minorEastAsia"/>
          <w:sz w:val="24"/>
          <w:szCs w:val="24"/>
        </w:rPr>
        <w:t>3、本条款的效力不受本合同变更、解除或终止的影响，即本合同如变更、解除或终止，甲乙双方均应当承担本条款约定的保密义务。</w:t>
      </w:r>
    </w:p>
    <w:p>
      <w:pPr>
        <w:spacing w:line="360" w:lineRule="auto"/>
        <w:rPr>
          <w:rFonts w:cs="Calibri" w:eastAsiaTheme="minorEastAsia"/>
          <w:sz w:val="24"/>
          <w:szCs w:val="24"/>
        </w:rPr>
      </w:pPr>
      <w:r>
        <w:rPr>
          <w:rFonts w:hint="eastAsia" w:cs="Calibri" w:eastAsiaTheme="minorEastAsia"/>
          <w:b/>
          <w:sz w:val="24"/>
          <w:szCs w:val="24"/>
          <w:lang w:val="en-US" w:eastAsia="zh-CN"/>
        </w:rPr>
        <w:t>九</w:t>
      </w:r>
      <w:r>
        <w:rPr>
          <w:rFonts w:cs="Calibri" w:eastAsiaTheme="minorEastAsia"/>
          <w:b/>
          <w:sz w:val="24"/>
          <w:szCs w:val="24"/>
        </w:rPr>
        <w:t>、不可抗力</w:t>
      </w:r>
    </w:p>
    <w:p>
      <w:pPr>
        <w:spacing w:line="360" w:lineRule="auto"/>
        <w:ind w:firstLine="480" w:firstLineChars="200"/>
        <w:rPr>
          <w:rFonts w:cs="Calibri" w:eastAsiaTheme="minorEastAsia"/>
          <w:sz w:val="24"/>
          <w:szCs w:val="24"/>
        </w:rPr>
      </w:pPr>
      <w:r>
        <w:rPr>
          <w:rFonts w:cs="Calibri" w:eastAsiaTheme="minorEastAsia"/>
          <w:sz w:val="24"/>
          <w:szCs w:val="24"/>
        </w:rPr>
        <w:t>1、乙方作为承运人在接受发件人和/或收件人的货物运输委托后，应对运输过程中货物的毁损、灭失等承担损害赔偿责任，但乙方证明货物的毁损、灭失等是因不可抗力、货物本身的自然性质或合理损耗、发件人、收件人过错造成的，乙方不承担损害赔偿责任。快件在运输过程中因不可抗力灭失，乙方未收取运费的，乙方不得要求甲方支付运费；乙方已收取运费的，甲方有权要求乙方返还运费。</w:t>
      </w:r>
    </w:p>
    <w:p>
      <w:pPr>
        <w:spacing w:line="360" w:lineRule="auto"/>
        <w:ind w:firstLine="480" w:firstLineChars="200"/>
        <w:rPr>
          <w:rFonts w:hint="eastAsia" w:cs="Calibri" w:eastAsiaTheme="minorEastAsia"/>
          <w:sz w:val="24"/>
          <w:szCs w:val="24"/>
          <w:lang w:eastAsia="zh-CN"/>
        </w:rPr>
      </w:pPr>
      <w:r>
        <w:rPr>
          <w:rFonts w:cs="Calibri" w:eastAsiaTheme="minorEastAsia"/>
          <w:sz w:val="24"/>
          <w:szCs w:val="24"/>
        </w:rPr>
        <w:t>2、如果乙方因受不可抗力事件影响，而未能履行其在合同下的全部或部分义务，相应义务的履行在不可抗力事件妨碍其履行期间应予以中止，依法不承担延误或不能履行合同的赔偿责任等</w:t>
      </w:r>
      <w:r>
        <w:rPr>
          <w:rFonts w:hint="eastAsia" w:cs="Calibri" w:eastAsiaTheme="minorEastAsia"/>
          <w:sz w:val="24"/>
          <w:szCs w:val="24"/>
          <w:lang w:eastAsia="zh-CN"/>
        </w:rPr>
        <w:t>。</w:t>
      </w:r>
    </w:p>
    <w:p>
      <w:pPr>
        <w:spacing w:line="360" w:lineRule="auto"/>
        <w:ind w:firstLine="480" w:firstLineChars="200"/>
        <w:rPr>
          <w:rFonts w:cs="Calibri" w:eastAsiaTheme="minorEastAsia"/>
          <w:sz w:val="24"/>
          <w:szCs w:val="24"/>
        </w:rPr>
      </w:pPr>
      <w:r>
        <w:rPr>
          <w:rFonts w:cs="Calibri" w:eastAsiaTheme="minorEastAsia"/>
          <w:sz w:val="24"/>
          <w:szCs w:val="24"/>
        </w:rPr>
        <w:t>3、在不可抗力事件发生后，乙方应以书面形式于不可抗力发生日起十个工作日内将不可抗力的情况和原因通知发件人和/或收件人以证实不可抗力的存在并取得发件人和/或收件人认可，否则应承担相应法律责任。不可抗力的影响消除后，乙方应立即通知发件人和/或收件人并立刻恢复履行合同。除另一方书面另行要求外，乙方应尽可能继续履行合同义务，并积极寻求合理的方案履行未受不可抗力事件影响的其他合同事项。因乙方未履行本合同下的义务，同时遭遇不可抗力导致货物遭受损失，不免除乙方赔偿责任。</w:t>
      </w:r>
    </w:p>
    <w:p>
      <w:pPr>
        <w:widowControl/>
        <w:spacing w:line="360" w:lineRule="auto"/>
        <w:ind w:firstLine="480" w:firstLineChars="200"/>
        <w:jc w:val="left"/>
        <w:rPr>
          <w:rFonts w:cs="Calibri" w:eastAsiaTheme="minorEastAsia"/>
          <w:sz w:val="24"/>
          <w:szCs w:val="24"/>
        </w:rPr>
      </w:pPr>
      <w:r>
        <w:rPr>
          <w:rFonts w:cs="Calibri" w:eastAsiaTheme="minorEastAsia"/>
          <w:sz w:val="24"/>
          <w:szCs w:val="24"/>
        </w:rPr>
        <w:t>4、未免歧义，本合同所指不可抗力包括</w:t>
      </w:r>
      <w:r>
        <w:rPr>
          <w:rFonts w:hint="eastAsia" w:cs="Calibri" w:eastAsiaTheme="minorEastAsia"/>
          <w:sz w:val="24"/>
          <w:szCs w:val="24"/>
          <w:lang w:val="en-US" w:eastAsia="zh-CN"/>
        </w:rPr>
        <w:t>但不限于</w:t>
      </w:r>
      <w:r>
        <w:rPr>
          <w:rFonts w:cs="Calibri" w:eastAsiaTheme="minorEastAsia"/>
          <w:sz w:val="24"/>
          <w:szCs w:val="24"/>
        </w:rPr>
        <w:t>：对甲方委托乙方货物运输造成不可避免影响的地震、龙卷风、风暴、洪水、大雾、战争、空难或禁运等；暴乱或民间骚乱；劳资事件。</w:t>
      </w:r>
    </w:p>
    <w:p>
      <w:pPr>
        <w:widowControl/>
        <w:spacing w:line="360" w:lineRule="auto"/>
        <w:ind w:firstLine="480" w:firstLineChars="200"/>
        <w:jc w:val="left"/>
        <w:rPr>
          <w:rFonts w:cs="Calibri" w:eastAsiaTheme="minorEastAsia"/>
          <w:sz w:val="24"/>
          <w:szCs w:val="24"/>
        </w:rPr>
      </w:pPr>
      <w:r>
        <w:rPr>
          <w:rFonts w:hint="eastAsia" w:cs="Calibri" w:eastAsiaTheme="minorEastAsia"/>
          <w:sz w:val="24"/>
          <w:szCs w:val="24"/>
          <w:lang w:val="en-US" w:eastAsia="zh-CN"/>
        </w:rPr>
        <w:t>5</w:t>
      </w:r>
      <w:r>
        <w:rPr>
          <w:rFonts w:cs="Calibri" w:eastAsiaTheme="minorEastAsia"/>
          <w:sz w:val="24"/>
          <w:szCs w:val="24"/>
        </w:rPr>
        <w:t xml:space="preserve">、对于因政府部门的作为或不作为致使乙方未能正常履行本合同义务的，乙方不得以不可抗力为由要求免除责任。 </w:t>
      </w:r>
    </w:p>
    <w:p>
      <w:pPr>
        <w:widowControl/>
        <w:spacing w:line="360" w:lineRule="auto"/>
        <w:jc w:val="left"/>
        <w:rPr>
          <w:rFonts w:cs="Calibri" w:eastAsiaTheme="minorEastAsia"/>
          <w:b/>
          <w:bCs/>
          <w:sz w:val="24"/>
          <w:szCs w:val="24"/>
        </w:rPr>
      </w:pPr>
      <w:r>
        <w:rPr>
          <w:rFonts w:hint="eastAsia" w:cs="Calibri" w:eastAsiaTheme="minorEastAsia"/>
          <w:b/>
          <w:bCs/>
          <w:sz w:val="24"/>
          <w:szCs w:val="24"/>
          <w:lang w:val="en-US" w:eastAsia="zh-CN"/>
        </w:rPr>
        <w:t>十</w:t>
      </w:r>
      <w:r>
        <w:rPr>
          <w:rFonts w:cs="Calibri" w:eastAsiaTheme="minorEastAsia"/>
          <w:b/>
          <w:bCs/>
          <w:sz w:val="24"/>
          <w:szCs w:val="24"/>
        </w:rPr>
        <w:t>、合规陈述与保证</w:t>
      </w:r>
    </w:p>
    <w:p>
      <w:pPr>
        <w:tabs>
          <w:tab w:val="left" w:pos="960"/>
          <w:tab w:val="left" w:pos="1440"/>
        </w:tabs>
        <w:adjustRightInd w:val="0"/>
        <w:spacing w:line="360" w:lineRule="auto"/>
        <w:ind w:firstLine="480" w:firstLineChars="200"/>
        <w:outlineLvl w:val="0"/>
        <w:rPr>
          <w:rFonts w:cs="Calibri" w:eastAsiaTheme="minorEastAsia"/>
          <w:sz w:val="24"/>
          <w:szCs w:val="24"/>
        </w:rPr>
      </w:pPr>
      <w:r>
        <w:rPr>
          <w:rFonts w:cs="Calibri" w:eastAsiaTheme="minorEastAsia"/>
          <w:bCs/>
          <w:sz w:val="24"/>
          <w:szCs w:val="24"/>
        </w:rPr>
        <w:t>1、乙方承诺，乙方及其指定委托方、分销商等其他第三方在履行本合同过程中将遵守具有管辖权的出口管制或经济制裁相关法律法规（以下简称“贸易管制法律”）。</w:t>
      </w:r>
    </w:p>
    <w:p>
      <w:pPr>
        <w:tabs>
          <w:tab w:val="left" w:pos="960"/>
          <w:tab w:val="left" w:pos="1440"/>
        </w:tabs>
        <w:adjustRightInd w:val="0"/>
        <w:spacing w:line="360" w:lineRule="auto"/>
        <w:ind w:firstLine="480" w:firstLineChars="200"/>
        <w:outlineLvl w:val="0"/>
        <w:rPr>
          <w:rFonts w:cs="Calibri" w:eastAsiaTheme="minorEastAsia"/>
          <w:bCs/>
          <w:sz w:val="24"/>
          <w:szCs w:val="24"/>
        </w:rPr>
      </w:pPr>
      <w:r>
        <w:rPr>
          <w:rFonts w:cs="Calibri" w:eastAsiaTheme="minorEastAsia"/>
          <w:bCs/>
          <w:sz w:val="24"/>
          <w:szCs w:val="24"/>
        </w:rPr>
        <w:t>2、乙方承诺，未被列入任何贸易管制清单，其既不是军事用户，也未从事军事最终用途（包括支持或有助于操作、安装、维护、修理、翻修、翻新、开发或生产军事物品的物品）的业务。</w:t>
      </w:r>
      <w:bookmarkStart w:id="16" w:name="OLE_LINK12"/>
      <w:bookmarkStart w:id="17" w:name="OLE_LINK11"/>
      <w:r>
        <w:rPr>
          <w:rFonts w:cs="Calibri" w:eastAsiaTheme="minorEastAsia"/>
          <w:bCs/>
          <w:sz w:val="24"/>
          <w:szCs w:val="24"/>
        </w:rPr>
        <w:t>乙方进一步承诺，如其指定其他承运人的，应保证该承运人未被列入任何贸易管制清单。</w:t>
      </w:r>
      <w:bookmarkEnd w:id="16"/>
      <w:bookmarkEnd w:id="17"/>
    </w:p>
    <w:p>
      <w:pPr>
        <w:tabs>
          <w:tab w:val="left" w:pos="960"/>
          <w:tab w:val="left" w:pos="1440"/>
        </w:tabs>
        <w:adjustRightInd w:val="0"/>
        <w:spacing w:line="360" w:lineRule="auto"/>
        <w:ind w:firstLine="480" w:firstLineChars="200"/>
        <w:outlineLvl w:val="0"/>
        <w:rPr>
          <w:rFonts w:cs="Calibri" w:eastAsiaTheme="minorEastAsia"/>
          <w:bCs/>
          <w:sz w:val="24"/>
          <w:szCs w:val="24"/>
        </w:rPr>
      </w:pPr>
      <w:r>
        <w:rPr>
          <w:rFonts w:cs="Calibri" w:eastAsiaTheme="minorEastAsia"/>
          <w:bCs/>
          <w:sz w:val="24"/>
          <w:szCs w:val="24"/>
        </w:rPr>
        <w:t>3、自本合同生效之日起，如因任何有管辖权法域下的贸易管制法规出现任何变更，包括具体条款及随附管制和制裁清单的新增、修订、废止等，对本合同的履行造成了重大影响，则经甲方书面提出并说明具体理由后，双方应就本合同全部或部分条款进行重新磋商。在磋商期间，合同中止履行，乙方不要求甲方承担违约责任。</w:t>
      </w:r>
    </w:p>
    <w:p>
      <w:pPr>
        <w:tabs>
          <w:tab w:val="left" w:pos="960"/>
          <w:tab w:val="left" w:pos="1440"/>
        </w:tabs>
        <w:adjustRightInd w:val="0"/>
        <w:spacing w:line="360" w:lineRule="auto"/>
        <w:ind w:firstLine="480" w:firstLineChars="200"/>
        <w:outlineLvl w:val="0"/>
        <w:rPr>
          <w:rFonts w:cs="Calibri" w:eastAsiaTheme="minorEastAsia"/>
          <w:bCs/>
          <w:sz w:val="24"/>
          <w:szCs w:val="24"/>
        </w:rPr>
      </w:pPr>
      <w:r>
        <w:rPr>
          <w:rFonts w:cs="Calibri" w:eastAsiaTheme="minorEastAsia"/>
          <w:bCs/>
          <w:sz w:val="24"/>
          <w:szCs w:val="24"/>
        </w:rPr>
        <w:t>如因贸易管制法规出现任何变更的原因，导致双方在合理期限内未能达成协议，则经甲方提前5日书面通知，本合同自动终止，乙方不要求甲方承担违约责任。本条所称的“重大影响”指对本合同项下双方实质性的权利和义务的影响，例如：根据相关强制性法律法规，合同任一方无法履行本合同约定的交付义务的情形。</w:t>
      </w:r>
    </w:p>
    <w:p>
      <w:pPr>
        <w:tabs>
          <w:tab w:val="left" w:pos="960"/>
          <w:tab w:val="left" w:pos="1440"/>
        </w:tabs>
        <w:adjustRightInd w:val="0"/>
        <w:spacing w:line="360" w:lineRule="auto"/>
        <w:ind w:firstLine="480" w:firstLineChars="200"/>
        <w:outlineLvl w:val="0"/>
        <w:rPr>
          <w:rFonts w:cs="Calibri" w:eastAsiaTheme="minorEastAsia"/>
          <w:bCs/>
          <w:sz w:val="24"/>
          <w:szCs w:val="24"/>
        </w:rPr>
      </w:pPr>
      <w:r>
        <w:rPr>
          <w:rFonts w:cs="Calibri" w:eastAsiaTheme="minorEastAsia"/>
          <w:bCs/>
          <w:sz w:val="24"/>
          <w:szCs w:val="24"/>
        </w:rPr>
        <w:t>4、自本合同生效之日起，如果乙方发生重大控制权变化，并且该等变化导致甲方未经许可不得给乙方提供本合同项下的航材时，则乙方应立即通知甲方。本条所称的“重大控制权变化”是指持有乙方直接或间接50%以上财产或财产权益的控制人发生变化。</w:t>
      </w:r>
    </w:p>
    <w:p>
      <w:pPr>
        <w:tabs>
          <w:tab w:val="left" w:pos="960"/>
          <w:tab w:val="left" w:pos="1440"/>
        </w:tabs>
        <w:adjustRightInd w:val="0"/>
        <w:spacing w:line="360" w:lineRule="auto"/>
        <w:ind w:firstLine="480" w:firstLineChars="200"/>
        <w:outlineLvl w:val="0"/>
        <w:rPr>
          <w:rFonts w:cs="Calibri" w:eastAsiaTheme="minorEastAsia"/>
          <w:bCs/>
          <w:sz w:val="24"/>
          <w:szCs w:val="24"/>
        </w:rPr>
      </w:pPr>
      <w:r>
        <w:rPr>
          <w:rFonts w:cs="Calibri" w:eastAsiaTheme="minorEastAsia"/>
          <w:bCs/>
          <w:sz w:val="24"/>
          <w:szCs w:val="24"/>
        </w:rPr>
        <w:t>5、乙方同意并接受甲方的合规培训。</w:t>
      </w:r>
    </w:p>
    <w:p>
      <w:pPr>
        <w:tabs>
          <w:tab w:val="left" w:pos="960"/>
          <w:tab w:val="left" w:pos="1440"/>
        </w:tabs>
        <w:adjustRightInd w:val="0"/>
        <w:spacing w:line="360" w:lineRule="auto"/>
        <w:ind w:firstLine="480" w:firstLineChars="200"/>
        <w:outlineLvl w:val="0"/>
        <w:rPr>
          <w:rFonts w:cs="Calibri" w:eastAsiaTheme="minorEastAsia"/>
          <w:bCs/>
          <w:sz w:val="24"/>
          <w:szCs w:val="24"/>
        </w:rPr>
      </w:pPr>
      <w:r>
        <w:rPr>
          <w:rFonts w:cs="Calibri" w:eastAsiaTheme="minorEastAsia"/>
          <w:bCs/>
          <w:sz w:val="24"/>
          <w:szCs w:val="24"/>
        </w:rPr>
        <w:t>6、如因乙方违反前款所述陈述与保证义务的，甲方有权单方面终止合同，若导致甲方因此而受到任何形式的损害或损失，包括但不限于：被相关政府机构所进行的行政或民事罚款、由于被列入贸易限制清单而产生的商誉和预期利益损失等的，甲方有权向乙方要求赔偿和补偿。如因乙方原因导致航材无法按照合同约定提供至乙方进行运输的，不视为甲方违约，甲方不承担运费支付以及其他赔偿责任，乙方不得以任何理由拒绝履行或拖延履行本合同项下的义务，或单方面要求解除合同。</w:t>
      </w:r>
    </w:p>
    <w:p>
      <w:pPr>
        <w:pStyle w:val="91"/>
        <w:numPr>
          <w:ilvl w:val="-1"/>
          <w:numId w:val="0"/>
        </w:numPr>
        <w:spacing w:line="360" w:lineRule="auto"/>
        <w:ind w:left="0" w:firstLine="0" w:firstLineChars="0"/>
        <w:rPr>
          <w:rFonts w:cs="Calibri" w:eastAsiaTheme="minorEastAsia"/>
          <w:sz w:val="24"/>
          <w:szCs w:val="24"/>
        </w:rPr>
      </w:pPr>
      <w:r>
        <w:rPr>
          <w:rFonts w:hint="eastAsia" w:cs="Calibri" w:eastAsiaTheme="minorEastAsia"/>
          <w:b/>
          <w:sz w:val="24"/>
          <w:szCs w:val="24"/>
          <w:lang w:val="en-US" w:eastAsia="zh-CN"/>
        </w:rPr>
        <w:t>十一、</w:t>
      </w:r>
      <w:r>
        <w:rPr>
          <w:rFonts w:cs="Calibri" w:eastAsiaTheme="minorEastAsia"/>
          <w:b/>
          <w:sz w:val="24"/>
          <w:szCs w:val="24"/>
        </w:rPr>
        <w:t>有效期和合同的终止</w:t>
      </w:r>
    </w:p>
    <w:p>
      <w:pPr>
        <w:widowControl/>
        <w:autoSpaceDE w:val="0"/>
        <w:autoSpaceDN w:val="0"/>
        <w:spacing w:line="360" w:lineRule="auto"/>
        <w:ind w:firstLine="480" w:firstLineChars="200"/>
        <w:jc w:val="left"/>
        <w:rPr>
          <w:rFonts w:cs="Calibri" w:eastAsiaTheme="minorEastAsia"/>
          <w:sz w:val="24"/>
          <w:szCs w:val="24"/>
        </w:rPr>
      </w:pPr>
      <w:r>
        <w:rPr>
          <w:rFonts w:cs="Calibri" w:eastAsiaTheme="minorEastAsia"/>
          <w:sz w:val="24"/>
          <w:szCs w:val="24"/>
        </w:rPr>
        <w:t>1、本合同自双方法定代表人或授权代表签字并加盖公司公章或合同专用章之日起生效，合同有效期为三年。</w:t>
      </w:r>
    </w:p>
    <w:p>
      <w:pPr>
        <w:widowControl/>
        <w:autoSpaceDE w:val="0"/>
        <w:autoSpaceDN w:val="0"/>
        <w:spacing w:line="360" w:lineRule="auto"/>
        <w:ind w:firstLine="480" w:firstLineChars="200"/>
        <w:jc w:val="left"/>
        <w:rPr>
          <w:rFonts w:cs="Calibri" w:eastAsiaTheme="minorEastAsia"/>
          <w:sz w:val="24"/>
          <w:szCs w:val="24"/>
        </w:rPr>
      </w:pPr>
      <w:r>
        <w:rPr>
          <w:rFonts w:cs="Calibri" w:eastAsiaTheme="minorEastAsia"/>
          <w:sz w:val="24"/>
          <w:szCs w:val="24"/>
        </w:rPr>
        <w:t>2、除本合同另有约定外，任何一方如欲在合同有效期到期前终止本合同，应提前通知对方，收到通知一方应于收到通知之日起三十日内给予答复，逾期不予答复的视为同意终止合同。</w:t>
      </w:r>
    </w:p>
    <w:p>
      <w:pPr>
        <w:widowControl/>
        <w:autoSpaceDE w:val="0"/>
        <w:autoSpaceDN w:val="0"/>
        <w:spacing w:line="360" w:lineRule="auto"/>
        <w:ind w:firstLine="480" w:firstLineChars="200"/>
        <w:jc w:val="left"/>
        <w:rPr>
          <w:rFonts w:cs="Calibri" w:eastAsiaTheme="minorEastAsia"/>
          <w:sz w:val="24"/>
          <w:szCs w:val="24"/>
        </w:rPr>
      </w:pPr>
      <w:r>
        <w:rPr>
          <w:rFonts w:cs="Calibri" w:eastAsiaTheme="minorEastAsia"/>
          <w:sz w:val="24"/>
          <w:szCs w:val="24"/>
        </w:rPr>
        <w:t>3、本合同履行期间，若甲方持续一年未委托乙方办理快递运输业务，本合同自动终止。</w:t>
      </w:r>
    </w:p>
    <w:p>
      <w:pPr>
        <w:spacing w:line="360" w:lineRule="auto"/>
        <w:rPr>
          <w:rFonts w:cs="Calibri" w:eastAsiaTheme="minorEastAsia"/>
          <w:b/>
          <w:sz w:val="24"/>
          <w:szCs w:val="24"/>
        </w:rPr>
      </w:pPr>
      <w:r>
        <w:rPr>
          <w:rFonts w:cs="Calibri" w:eastAsiaTheme="minorEastAsia"/>
          <w:b/>
          <w:sz w:val="24"/>
          <w:szCs w:val="24"/>
        </w:rPr>
        <w:t>*十</w:t>
      </w:r>
      <w:r>
        <w:rPr>
          <w:rFonts w:hint="eastAsia" w:cs="Calibri" w:eastAsiaTheme="minorEastAsia"/>
          <w:b/>
          <w:sz w:val="24"/>
          <w:szCs w:val="24"/>
          <w:lang w:val="en-US" w:eastAsia="zh-CN"/>
        </w:rPr>
        <w:t>二</w:t>
      </w:r>
      <w:r>
        <w:rPr>
          <w:rFonts w:cs="Calibri" w:eastAsiaTheme="minorEastAsia"/>
          <w:b/>
          <w:sz w:val="24"/>
          <w:szCs w:val="24"/>
        </w:rPr>
        <w:t>、争议的解决</w:t>
      </w:r>
    </w:p>
    <w:p>
      <w:pPr>
        <w:spacing w:line="360" w:lineRule="auto"/>
        <w:ind w:firstLine="480" w:firstLineChars="200"/>
        <w:rPr>
          <w:rFonts w:cs="Calibri" w:eastAsiaTheme="minorEastAsia"/>
          <w:sz w:val="24"/>
          <w:szCs w:val="24"/>
        </w:rPr>
      </w:pPr>
      <w:r>
        <w:rPr>
          <w:rFonts w:hint="eastAsia" w:cs="Calibri" w:eastAsiaTheme="minorEastAsia"/>
          <w:sz w:val="24"/>
          <w:szCs w:val="24"/>
        </w:rPr>
        <w:t>因本合同所产生的任何争议，如双方不能协商解决，任何一方可将争议提交上海国际仲裁中心，在上海按照提交时其现行有效的仲裁规则进行仲裁。仲裁庭由三名仲裁员组成，双方各指定一名，第三名由上海国际仲裁中心指定并担任首席仲裁员。仲裁费用应由败诉方承担，除非仲裁庭另行裁决。在磋商或仲裁期间，除双方有争议并正在进行磋商或仲裁的事项外，本合同应继续得以履行。</w:t>
      </w:r>
    </w:p>
    <w:p>
      <w:pPr>
        <w:spacing w:line="360" w:lineRule="auto"/>
        <w:rPr>
          <w:rFonts w:cs="Calibri" w:eastAsiaTheme="minorEastAsia"/>
          <w:sz w:val="24"/>
          <w:szCs w:val="24"/>
        </w:rPr>
      </w:pPr>
      <w:r>
        <w:rPr>
          <w:rFonts w:cs="Calibri" w:eastAsiaTheme="minorEastAsia"/>
          <w:b/>
          <w:sz w:val="24"/>
          <w:szCs w:val="24"/>
        </w:rPr>
        <w:t>*十</w:t>
      </w:r>
      <w:r>
        <w:rPr>
          <w:rFonts w:hint="eastAsia" w:cs="Calibri" w:eastAsiaTheme="minorEastAsia"/>
          <w:b/>
          <w:sz w:val="24"/>
          <w:szCs w:val="24"/>
          <w:lang w:val="en-US" w:eastAsia="zh-CN"/>
        </w:rPr>
        <w:t>三</w:t>
      </w:r>
      <w:r>
        <w:rPr>
          <w:rFonts w:cs="Calibri" w:eastAsiaTheme="minorEastAsia"/>
          <w:b/>
          <w:sz w:val="24"/>
          <w:szCs w:val="24"/>
        </w:rPr>
        <w:t>、其它约定事项</w:t>
      </w:r>
    </w:p>
    <w:p>
      <w:pPr>
        <w:widowControl/>
        <w:autoSpaceDE w:val="0"/>
        <w:autoSpaceDN w:val="0"/>
        <w:spacing w:line="360" w:lineRule="auto"/>
        <w:ind w:firstLine="480" w:firstLineChars="200"/>
        <w:jc w:val="left"/>
        <w:rPr>
          <w:rFonts w:cs="Calibri" w:eastAsiaTheme="minorEastAsia"/>
          <w:sz w:val="24"/>
          <w:szCs w:val="24"/>
        </w:rPr>
      </w:pPr>
      <w:r>
        <w:rPr>
          <w:rFonts w:cs="Calibri" w:eastAsiaTheme="minorEastAsia"/>
          <w:sz w:val="24"/>
          <w:szCs w:val="24"/>
        </w:rPr>
        <w:t>*1、本合同一式</w:t>
      </w:r>
      <w:r>
        <w:rPr>
          <w:rFonts w:hint="eastAsia" w:cs="Calibri" w:eastAsiaTheme="minorEastAsia"/>
          <w:sz w:val="24"/>
          <w:szCs w:val="24"/>
          <w:lang w:val="en-US" w:eastAsia="zh-CN"/>
        </w:rPr>
        <w:t>四</w:t>
      </w:r>
      <w:r>
        <w:rPr>
          <w:rFonts w:cs="Calibri" w:eastAsiaTheme="minorEastAsia"/>
          <w:sz w:val="24"/>
          <w:szCs w:val="24"/>
        </w:rPr>
        <w:t>份，甲乙双方各执</w:t>
      </w:r>
      <w:r>
        <w:rPr>
          <w:rFonts w:hint="eastAsia" w:cs="Calibri" w:eastAsiaTheme="minorEastAsia"/>
          <w:sz w:val="24"/>
          <w:szCs w:val="24"/>
          <w:lang w:val="en-US" w:eastAsia="zh-CN"/>
        </w:rPr>
        <w:t>二</w:t>
      </w:r>
      <w:r>
        <w:rPr>
          <w:rFonts w:cs="Calibri" w:eastAsiaTheme="minorEastAsia"/>
          <w:sz w:val="24"/>
          <w:szCs w:val="24"/>
        </w:rPr>
        <w:t>份，具有相同法律效力。</w:t>
      </w:r>
    </w:p>
    <w:p>
      <w:pPr>
        <w:widowControl/>
        <w:autoSpaceDE w:val="0"/>
        <w:autoSpaceDN w:val="0"/>
        <w:spacing w:line="360" w:lineRule="auto"/>
        <w:ind w:firstLine="480" w:firstLineChars="200"/>
        <w:jc w:val="left"/>
        <w:rPr>
          <w:rFonts w:cs="Calibri" w:eastAsiaTheme="minorEastAsia"/>
          <w:sz w:val="24"/>
          <w:szCs w:val="24"/>
        </w:rPr>
      </w:pPr>
      <w:r>
        <w:rPr>
          <w:rFonts w:cs="Calibri" w:eastAsiaTheme="minorEastAsia"/>
          <w:sz w:val="24"/>
          <w:szCs w:val="24"/>
        </w:rPr>
        <w:t>*2、本合同适用</w:t>
      </w:r>
      <w:r>
        <w:rPr>
          <w:rFonts w:hint="default" w:ascii="Calibri" w:hAnsi="Calibri" w:cs="Calibri" w:eastAsiaTheme="minorEastAsia"/>
          <w:sz w:val="24"/>
          <w:szCs w:val="24"/>
        </w:rPr>
        <w:t>中华人民共和国法律并依照中华人民共和国法律进行解释</w:t>
      </w:r>
      <w:r>
        <w:rPr>
          <w:rFonts w:hint="default" w:ascii="Calibri" w:hAnsi="Calibri" w:cs="Calibri" w:eastAsiaTheme="minorEastAsia"/>
          <w:sz w:val="24"/>
          <w:szCs w:val="24"/>
          <w:lang w:val="en-US" w:eastAsia="zh-CN"/>
        </w:rPr>
        <w:t>和管辖</w:t>
      </w:r>
      <w:r>
        <w:rPr>
          <w:rFonts w:hint="default" w:ascii="Calibri" w:hAnsi="Calibri" w:cs="Calibri" w:eastAsiaTheme="minorEastAsia"/>
          <w:sz w:val="24"/>
          <w:szCs w:val="24"/>
        </w:rPr>
        <w:t>，不包括台湾地区、香港特别行政区、澳门特别行政区的法律、法规、司法判例等</w:t>
      </w:r>
      <w:r>
        <w:rPr>
          <w:rFonts w:cs="Calibri" w:eastAsiaTheme="minorEastAsia"/>
          <w:sz w:val="24"/>
          <w:szCs w:val="24"/>
        </w:rPr>
        <w:t>。</w:t>
      </w:r>
    </w:p>
    <w:p>
      <w:pPr>
        <w:widowControl/>
        <w:autoSpaceDE w:val="0"/>
        <w:autoSpaceDN w:val="0"/>
        <w:spacing w:line="360" w:lineRule="auto"/>
        <w:ind w:firstLine="480" w:firstLineChars="200"/>
        <w:jc w:val="left"/>
        <w:rPr>
          <w:rFonts w:cs="Calibri" w:eastAsiaTheme="minorEastAsia"/>
          <w:sz w:val="24"/>
          <w:szCs w:val="24"/>
        </w:rPr>
      </w:pPr>
      <w:r>
        <w:rPr>
          <w:rFonts w:cs="Calibri" w:eastAsiaTheme="minorEastAsia"/>
          <w:sz w:val="24"/>
          <w:szCs w:val="24"/>
        </w:rPr>
        <w:t>*3、“乙方快递服务条款与条件”（本合同附件2）是指乙方最新发布并记载于运单上的承运货物的各项条款，最终以运单记载为准。乙方对于“乙方快递服务条款与条件”的变更应当事先15个工作日通知甲方。若有必要的，双方协商一致对本合同予以书面变更。双方同意，“乙方快递服务条款与条件”以中文标明。</w:t>
      </w:r>
    </w:p>
    <w:p>
      <w:pPr>
        <w:spacing w:line="360" w:lineRule="auto"/>
        <w:ind w:firstLine="480" w:firstLineChars="200"/>
        <w:rPr>
          <w:rFonts w:cs="Calibri" w:eastAsiaTheme="minorEastAsia"/>
          <w:sz w:val="24"/>
          <w:szCs w:val="24"/>
        </w:rPr>
      </w:pPr>
    </w:p>
    <w:p>
      <w:pPr>
        <w:spacing w:line="360" w:lineRule="auto"/>
        <w:ind w:left="480"/>
        <w:rPr>
          <w:rFonts w:cs="Calibri" w:eastAsiaTheme="minorEastAsia"/>
          <w:sz w:val="24"/>
          <w:szCs w:val="24"/>
        </w:rPr>
      </w:pPr>
      <w:r>
        <w:rPr>
          <w:rFonts w:cs="Calibri" w:eastAsiaTheme="minorEastAsia"/>
          <w:sz w:val="24"/>
          <w:szCs w:val="24"/>
        </w:rPr>
        <w:t>本合同有以下附件，附件是本合同组成部分，如合同附件与合同正文表述发生冲突的，以合同正本约定为准：</w:t>
      </w:r>
    </w:p>
    <w:p>
      <w:pPr>
        <w:spacing w:line="360" w:lineRule="auto"/>
        <w:ind w:firstLine="480" w:firstLineChars="200"/>
        <w:rPr>
          <w:rFonts w:cs="Calibri" w:eastAsiaTheme="minorEastAsia"/>
          <w:sz w:val="24"/>
          <w:szCs w:val="24"/>
        </w:rPr>
      </w:pPr>
      <w:r>
        <w:rPr>
          <w:rFonts w:cs="Calibri" w:eastAsiaTheme="minorEastAsia"/>
          <w:sz w:val="24"/>
          <w:szCs w:val="24"/>
        </w:rPr>
        <w:t>附件1：账号/价格（完整版）</w:t>
      </w:r>
    </w:p>
    <w:p>
      <w:pPr>
        <w:spacing w:line="360" w:lineRule="auto"/>
        <w:ind w:firstLine="480" w:firstLineChars="200"/>
        <w:rPr>
          <w:rFonts w:cs="Calibri" w:eastAsiaTheme="minorEastAsia"/>
          <w:sz w:val="24"/>
          <w:szCs w:val="24"/>
          <w:highlight w:val="yellow"/>
        </w:rPr>
      </w:pPr>
      <w:r>
        <w:rPr>
          <w:rFonts w:cs="Calibri" w:eastAsiaTheme="minorEastAsia"/>
          <w:sz w:val="24"/>
          <w:szCs w:val="24"/>
        </w:rPr>
        <w:t>附件2：乙方快递服务条款与条件</w:t>
      </w:r>
    </w:p>
    <w:p>
      <w:pPr>
        <w:spacing w:line="360" w:lineRule="auto"/>
        <w:ind w:firstLine="480" w:firstLineChars="200"/>
        <w:rPr>
          <w:rFonts w:cs="Calibri" w:eastAsiaTheme="minorEastAsia"/>
          <w:sz w:val="24"/>
          <w:szCs w:val="24"/>
        </w:rPr>
      </w:pPr>
      <w:r>
        <w:rPr>
          <w:rFonts w:cs="Calibri" w:eastAsiaTheme="minorEastAsia"/>
          <w:sz w:val="24"/>
          <w:szCs w:val="24"/>
        </w:rPr>
        <w:t>附件3：乙方全球快递服务时限和服务</w:t>
      </w:r>
      <w:bookmarkStart w:id="18" w:name="_GoBack"/>
      <w:bookmarkEnd w:id="18"/>
      <w:r>
        <w:rPr>
          <w:rFonts w:cs="Calibri" w:eastAsiaTheme="minorEastAsia"/>
          <w:sz w:val="24"/>
          <w:szCs w:val="24"/>
        </w:rPr>
        <w:t>承诺</w:t>
      </w:r>
    </w:p>
    <w:p>
      <w:pPr>
        <w:spacing w:line="360" w:lineRule="auto"/>
        <w:ind w:firstLine="480" w:firstLineChars="200"/>
        <w:rPr>
          <w:rFonts w:hint="eastAsia" w:cs="Calibri" w:eastAsiaTheme="minorEastAsia"/>
          <w:sz w:val="24"/>
          <w:szCs w:val="24"/>
          <w:lang w:val="en-US" w:eastAsia="zh-CN"/>
        </w:rPr>
      </w:pPr>
      <w:r>
        <w:rPr>
          <w:rFonts w:hint="eastAsia" w:cs="Calibri" w:eastAsiaTheme="minorEastAsia"/>
          <w:sz w:val="24"/>
          <w:szCs w:val="24"/>
          <w:lang w:eastAsia="zh-CN"/>
        </w:rPr>
        <w:t>附件</w:t>
      </w:r>
      <w:r>
        <w:rPr>
          <w:rFonts w:hint="eastAsia" w:cs="Calibri" w:eastAsiaTheme="minorEastAsia"/>
          <w:sz w:val="24"/>
          <w:szCs w:val="24"/>
          <w:lang w:val="en-US" w:eastAsia="zh-CN"/>
        </w:rPr>
        <w:t>4：考核标准</w:t>
      </w:r>
    </w:p>
    <w:p>
      <w:pPr>
        <w:spacing w:line="360" w:lineRule="auto"/>
        <w:ind w:firstLine="480" w:firstLineChars="200"/>
        <w:rPr>
          <w:rFonts w:hint="eastAsia" w:cs="Calibri" w:eastAsiaTheme="minorEastAsia"/>
          <w:sz w:val="24"/>
          <w:szCs w:val="24"/>
          <w:lang w:val="en-US" w:eastAsia="zh-CN"/>
        </w:rPr>
      </w:pPr>
      <w:r>
        <w:rPr>
          <w:rFonts w:hint="eastAsia" w:cs="Calibri" w:eastAsiaTheme="minorEastAsia"/>
          <w:sz w:val="24"/>
          <w:szCs w:val="24"/>
          <w:lang w:val="en-US" w:eastAsia="zh-CN"/>
        </w:rPr>
        <w:t>附件5：保密协议</w:t>
      </w:r>
    </w:p>
    <w:p>
      <w:pPr>
        <w:spacing w:line="360" w:lineRule="auto"/>
        <w:ind w:firstLine="480" w:firstLineChars="200"/>
        <w:rPr>
          <w:rFonts w:hint="eastAsia" w:cs="Calibri" w:eastAsiaTheme="minorEastAsia"/>
          <w:sz w:val="24"/>
          <w:szCs w:val="24"/>
          <w:lang w:val="en-US" w:eastAsia="zh-CN"/>
        </w:rPr>
      </w:pPr>
      <w:r>
        <w:rPr>
          <w:rFonts w:hint="eastAsia" w:cs="Calibri" w:eastAsiaTheme="minorEastAsia"/>
          <w:sz w:val="24"/>
          <w:szCs w:val="24"/>
          <w:lang w:val="en-US" w:eastAsia="zh-CN"/>
        </w:rPr>
        <w:t>附件6：廉洁协议</w:t>
      </w:r>
    </w:p>
    <w:p>
      <w:pPr>
        <w:spacing w:line="360" w:lineRule="auto"/>
        <w:ind w:firstLine="480" w:firstLineChars="200"/>
        <w:rPr>
          <w:rFonts w:hint="default" w:cs="Calibri" w:eastAsiaTheme="minorEastAsia"/>
          <w:sz w:val="24"/>
          <w:szCs w:val="24"/>
          <w:lang w:val="en-US" w:eastAsia="zh-CN"/>
        </w:rPr>
      </w:pPr>
      <w:r>
        <w:rPr>
          <w:rFonts w:hint="eastAsia" w:cs="Calibri" w:eastAsiaTheme="minorEastAsia"/>
          <w:sz w:val="24"/>
          <w:szCs w:val="24"/>
          <w:lang w:val="en-US" w:eastAsia="zh-CN"/>
        </w:rPr>
        <w:t>（以下无正文）</w:t>
      </w:r>
    </w:p>
    <w:p>
      <w:pPr>
        <w:spacing w:line="360" w:lineRule="auto"/>
        <w:ind w:firstLine="0" w:firstLineChars="0"/>
        <w:rPr>
          <w:rFonts w:hint="eastAsia" w:cs="Calibri" w:eastAsiaTheme="minorEastAsia"/>
          <w:sz w:val="24"/>
          <w:szCs w:val="24"/>
          <w:lang w:eastAsia="zh-CN"/>
        </w:rPr>
      </w:pP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r>
        <w:rPr>
          <w:rFonts w:cs="Calibri" w:eastAsiaTheme="minorEastAsia"/>
          <w:sz w:val="24"/>
          <w:szCs w:val="24"/>
        </w:rPr>
        <w:t>甲方：上海飞机客户服务有限公司   乙方：</w:t>
      </w: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r>
        <w:rPr>
          <w:rFonts w:cs="Calibri" w:eastAsiaTheme="minorEastAsia"/>
          <w:sz w:val="24"/>
          <w:szCs w:val="24"/>
        </w:rPr>
        <w:t>盖章                             盖章</w:t>
      </w:r>
    </w:p>
    <w:p>
      <w:pPr>
        <w:spacing w:line="360" w:lineRule="auto"/>
        <w:ind w:firstLine="480" w:firstLineChars="200"/>
        <w:rPr>
          <w:rFonts w:cs="Calibri" w:eastAsiaTheme="minorEastAsia"/>
          <w:sz w:val="24"/>
          <w:szCs w:val="24"/>
        </w:rPr>
      </w:pPr>
    </w:p>
    <w:p>
      <w:pPr>
        <w:spacing w:line="360" w:lineRule="auto"/>
        <w:ind w:firstLine="480" w:firstLineChars="200"/>
        <w:rPr>
          <w:rFonts w:cs="Calibri" w:eastAsiaTheme="minorEastAsia"/>
          <w:sz w:val="24"/>
          <w:szCs w:val="24"/>
        </w:rPr>
      </w:pPr>
      <w:r>
        <w:rPr>
          <w:rFonts w:cs="Calibri" w:eastAsiaTheme="minorEastAsia"/>
          <w:sz w:val="24"/>
          <w:szCs w:val="24"/>
        </w:rPr>
        <w:t>法定代表人或</w:t>
      </w:r>
      <w:r>
        <w:rPr>
          <w:rFonts w:hint="eastAsia" w:cs="Calibri" w:eastAsiaTheme="minorEastAsia"/>
          <w:sz w:val="24"/>
          <w:szCs w:val="24"/>
          <w:lang w:val="en-US" w:eastAsia="zh-CN"/>
        </w:rPr>
        <w:t>授权代表</w:t>
      </w:r>
      <w:r>
        <w:rPr>
          <w:rFonts w:cs="Calibri" w:eastAsiaTheme="minorEastAsia"/>
          <w:sz w:val="24"/>
          <w:szCs w:val="24"/>
        </w:rPr>
        <w:t>：           法定代表人或</w:t>
      </w:r>
      <w:r>
        <w:rPr>
          <w:rFonts w:hint="eastAsia" w:cs="Calibri" w:eastAsiaTheme="minorEastAsia"/>
          <w:sz w:val="24"/>
          <w:szCs w:val="24"/>
          <w:lang w:val="en-US" w:eastAsia="zh-CN"/>
        </w:rPr>
        <w:t>授权代表</w:t>
      </w:r>
      <w:r>
        <w:rPr>
          <w:rFonts w:cs="Calibri" w:eastAsiaTheme="minorEastAsia"/>
          <w:sz w:val="24"/>
          <w:szCs w:val="24"/>
        </w:rPr>
        <w:t xml:space="preserve">： </w:t>
      </w:r>
    </w:p>
    <w:p>
      <w:pPr>
        <w:spacing w:line="360" w:lineRule="auto"/>
        <w:ind w:firstLine="480" w:firstLineChars="200"/>
        <w:rPr>
          <w:rFonts w:cs="Calibri" w:eastAsiaTheme="minorEastAsia"/>
          <w:sz w:val="24"/>
          <w:szCs w:val="24"/>
        </w:rPr>
      </w:pPr>
      <w:r>
        <w:rPr>
          <w:rFonts w:cs="Calibri" w:eastAsiaTheme="minorEastAsia"/>
          <w:sz w:val="24"/>
          <w:szCs w:val="24"/>
        </w:rPr>
        <w:t>职务：                           职务：</w:t>
      </w:r>
    </w:p>
    <w:p>
      <w:pPr>
        <w:spacing w:line="360" w:lineRule="auto"/>
        <w:ind w:firstLine="480" w:firstLineChars="200"/>
        <w:rPr>
          <w:rFonts w:cs="Calibri" w:eastAsiaTheme="minorEastAsia"/>
          <w:sz w:val="24"/>
          <w:szCs w:val="24"/>
        </w:rPr>
      </w:pPr>
      <w:r>
        <w:rPr>
          <w:rFonts w:cs="Calibri" w:eastAsiaTheme="minorEastAsia"/>
          <w:sz w:val="24"/>
          <w:szCs w:val="24"/>
        </w:rPr>
        <w:t>日期：                           日期：</w:t>
      </w:r>
    </w:p>
    <w:p>
      <w:pPr>
        <w:snapToGrid w:val="0"/>
        <w:rPr>
          <w:rFonts w:eastAsia="黑体" w:cs="Calibri"/>
          <w:bCs/>
          <w:snapToGrid w:val="0"/>
          <w:sz w:val="30"/>
          <w:szCs w:val="30"/>
        </w:rPr>
      </w:pPr>
    </w:p>
    <w:p>
      <w:pPr>
        <w:pStyle w:val="22"/>
        <w:spacing w:after="0" w:line="360" w:lineRule="auto"/>
        <w:ind w:left="0" w:leftChars="0"/>
        <w:jc w:val="left"/>
        <w:rPr>
          <w:rFonts w:ascii="Calibri" w:hAnsi="Calibri" w:cs="Calibri" w:eastAsiaTheme="majorEastAsia"/>
          <w:sz w:val="24"/>
          <w:szCs w:val="24"/>
        </w:rPr>
      </w:pPr>
    </w:p>
    <w:p>
      <w:pPr>
        <w:spacing w:line="440" w:lineRule="exact"/>
        <w:jc w:val="center"/>
        <w:rPr>
          <w:rFonts w:cs="Calibri"/>
          <w:b/>
          <w:bCs/>
          <w:sz w:val="44"/>
          <w:szCs w:val="44"/>
        </w:rPr>
        <w:sectPr>
          <w:pgSz w:w="11906" w:h="16838"/>
          <w:pgMar w:top="1247" w:right="1247" w:bottom="1247" w:left="1247" w:header="851" w:footer="850" w:gutter="0"/>
          <w:pgNumType w:fmt="decimal"/>
          <w:cols w:space="720" w:num="1"/>
          <w:docGrid w:linePitch="286" w:charSpace="0"/>
        </w:sectPr>
      </w:pPr>
    </w:p>
    <w:p>
      <w:pPr>
        <w:pStyle w:val="91"/>
        <w:spacing w:line="360" w:lineRule="auto"/>
        <w:ind w:left="479" w:firstLine="480"/>
        <w:rPr>
          <w:rFonts w:cs="Calibri" w:eastAsiaTheme="minorEastAsia"/>
          <w:sz w:val="24"/>
          <w:szCs w:val="24"/>
        </w:rPr>
      </w:pPr>
    </w:p>
    <w:p>
      <w:pPr>
        <w:numPr>
          <w:ilvl w:val="-1"/>
          <w:numId w:val="0"/>
        </w:numPr>
        <w:spacing w:line="360" w:lineRule="auto"/>
        <w:ind w:left="0" w:firstLine="0"/>
        <w:rPr>
          <w:rFonts w:cs="Calibri" w:eastAsiaTheme="minorEastAsia"/>
          <w:b/>
          <w:sz w:val="24"/>
          <w:szCs w:val="24"/>
        </w:rPr>
      </w:pPr>
      <w:r>
        <w:rPr>
          <w:rFonts w:hint="eastAsia" w:cs="Calibri" w:eastAsiaTheme="minorEastAsia"/>
          <w:b/>
          <w:sz w:val="24"/>
          <w:szCs w:val="24"/>
          <w:lang w:eastAsia="zh-CN"/>
        </w:rPr>
        <w:t>附件</w:t>
      </w:r>
      <w:r>
        <w:rPr>
          <w:rFonts w:hint="eastAsia" w:cs="Calibri" w:eastAsiaTheme="minorEastAsia"/>
          <w:b/>
          <w:sz w:val="24"/>
          <w:szCs w:val="24"/>
          <w:lang w:val="en-US" w:eastAsia="zh-CN"/>
        </w:rPr>
        <w:t xml:space="preserve">4 </w:t>
      </w:r>
      <w:r>
        <w:rPr>
          <w:rFonts w:cs="Calibri" w:eastAsiaTheme="minorEastAsia"/>
          <w:b/>
          <w:sz w:val="24"/>
          <w:szCs w:val="24"/>
        </w:rPr>
        <w:t>*考核标准</w:t>
      </w:r>
    </w:p>
    <w:tbl>
      <w:tblPr>
        <w:tblStyle w:val="54"/>
        <w:tblW w:w="9363" w:type="dxa"/>
        <w:jc w:val="center"/>
        <w:tblInd w:w="0" w:type="dxa"/>
        <w:tblLayout w:type="fixed"/>
        <w:tblCellMar>
          <w:top w:w="0" w:type="dxa"/>
          <w:left w:w="108" w:type="dxa"/>
          <w:bottom w:w="0" w:type="dxa"/>
          <w:right w:w="108" w:type="dxa"/>
        </w:tblCellMar>
      </w:tblPr>
      <w:tblGrid>
        <w:gridCol w:w="1819"/>
        <w:gridCol w:w="5938"/>
        <w:gridCol w:w="1606"/>
      </w:tblGrid>
      <w:tr>
        <w:tblPrEx>
          <w:tblLayout w:type="fixed"/>
          <w:tblCellMar>
            <w:top w:w="0" w:type="dxa"/>
            <w:left w:w="108" w:type="dxa"/>
            <w:bottom w:w="0" w:type="dxa"/>
            <w:right w:w="108" w:type="dxa"/>
          </w:tblCellMar>
        </w:tblPrEx>
        <w:trPr>
          <w:trHeight w:val="270" w:hRule="atLeast"/>
          <w:jc w:val="center"/>
        </w:trPr>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*服务指标</w:t>
            </w:r>
          </w:p>
        </w:tc>
        <w:tc>
          <w:tcPr>
            <w:tcW w:w="5938"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*备注</w:t>
            </w:r>
          </w:p>
        </w:tc>
        <w:tc>
          <w:tcPr>
            <w:tcW w:w="160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*比率</w:t>
            </w:r>
          </w:p>
        </w:tc>
      </w:tr>
      <w:tr>
        <w:tblPrEx>
          <w:tblLayout w:type="fixed"/>
          <w:tblCellMar>
            <w:top w:w="0" w:type="dxa"/>
            <w:left w:w="108" w:type="dxa"/>
            <w:bottom w:w="0" w:type="dxa"/>
            <w:right w:w="108" w:type="dxa"/>
          </w:tblCellMar>
        </w:tblPrEx>
        <w:trPr>
          <w:trHeight w:val="368" w:hRule="atLeast"/>
          <w:jc w:val="center"/>
        </w:trPr>
        <w:tc>
          <w:tcPr>
            <w:tcW w:w="1819" w:type="dxa"/>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委托单执行率</w:t>
            </w:r>
          </w:p>
        </w:tc>
        <w:tc>
          <w:tcPr>
            <w:tcW w:w="5938" w:type="dxa"/>
            <w:tcBorders>
              <w:top w:val="nil"/>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不执行委托单数/收到的委托单总数*1000‰</w:t>
            </w:r>
          </w:p>
        </w:tc>
        <w:tc>
          <w:tcPr>
            <w:tcW w:w="1606"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≤1‰</w:t>
            </w:r>
          </w:p>
        </w:tc>
      </w:tr>
      <w:tr>
        <w:tblPrEx>
          <w:tblLayout w:type="fixed"/>
          <w:tblCellMar>
            <w:top w:w="0" w:type="dxa"/>
            <w:left w:w="108" w:type="dxa"/>
            <w:bottom w:w="0" w:type="dxa"/>
            <w:right w:w="108" w:type="dxa"/>
          </w:tblCellMar>
        </w:tblPrEx>
        <w:trPr>
          <w:trHeight w:val="70" w:hRule="atLeast"/>
          <w:jc w:val="center"/>
        </w:trPr>
        <w:tc>
          <w:tcPr>
            <w:tcW w:w="1819" w:type="dxa"/>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委托单延误率</w:t>
            </w:r>
          </w:p>
        </w:tc>
        <w:tc>
          <w:tcPr>
            <w:tcW w:w="5938" w:type="dxa"/>
            <w:tcBorders>
              <w:top w:val="nil"/>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发生延误的委托单数/收到的委托单总数*百万分之一百万</w:t>
            </w:r>
          </w:p>
        </w:tc>
        <w:tc>
          <w:tcPr>
            <w:tcW w:w="1606"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≤0.00242‰</w:t>
            </w:r>
          </w:p>
        </w:tc>
      </w:tr>
      <w:tr>
        <w:tblPrEx>
          <w:tblLayout w:type="fixed"/>
          <w:tblCellMar>
            <w:top w:w="0" w:type="dxa"/>
            <w:left w:w="108" w:type="dxa"/>
            <w:bottom w:w="0" w:type="dxa"/>
            <w:right w:w="108" w:type="dxa"/>
          </w:tblCellMar>
        </w:tblPrEx>
        <w:trPr>
          <w:trHeight w:val="70" w:hRule="atLeast"/>
          <w:jc w:val="center"/>
        </w:trPr>
        <w:tc>
          <w:tcPr>
            <w:tcW w:w="1819" w:type="dxa"/>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货损率</w:t>
            </w:r>
          </w:p>
        </w:tc>
        <w:tc>
          <w:tcPr>
            <w:tcW w:w="5938" w:type="dxa"/>
            <w:tcBorders>
              <w:top w:val="nil"/>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发生货损的委托单数 /收到的委托单总数*百万分之一百万</w:t>
            </w:r>
          </w:p>
        </w:tc>
        <w:tc>
          <w:tcPr>
            <w:tcW w:w="1606"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≤0.00242‰</w:t>
            </w:r>
          </w:p>
        </w:tc>
      </w:tr>
      <w:tr>
        <w:tblPrEx>
          <w:tblLayout w:type="fixed"/>
          <w:tblCellMar>
            <w:top w:w="0" w:type="dxa"/>
            <w:left w:w="108" w:type="dxa"/>
            <w:bottom w:w="0" w:type="dxa"/>
            <w:right w:w="108" w:type="dxa"/>
          </w:tblCellMar>
        </w:tblPrEx>
        <w:trPr>
          <w:trHeight w:val="129" w:hRule="atLeast"/>
          <w:jc w:val="center"/>
        </w:trPr>
        <w:tc>
          <w:tcPr>
            <w:tcW w:w="1819" w:type="dxa"/>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客户投诉率</w:t>
            </w:r>
          </w:p>
        </w:tc>
        <w:tc>
          <w:tcPr>
            <w:tcW w:w="5938" w:type="dxa"/>
            <w:tcBorders>
              <w:top w:val="nil"/>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投诉的委托单数/收到的委托单总数*百万分之一百万</w:t>
            </w:r>
          </w:p>
        </w:tc>
        <w:tc>
          <w:tcPr>
            <w:tcW w:w="1606"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≤0.0084‰</w:t>
            </w:r>
          </w:p>
        </w:tc>
      </w:tr>
      <w:tr>
        <w:tblPrEx>
          <w:tblLayout w:type="fixed"/>
          <w:tblCellMar>
            <w:top w:w="0" w:type="dxa"/>
            <w:left w:w="108" w:type="dxa"/>
            <w:bottom w:w="0" w:type="dxa"/>
            <w:right w:w="108" w:type="dxa"/>
          </w:tblCellMar>
        </w:tblPrEx>
        <w:trPr>
          <w:trHeight w:val="70" w:hRule="atLeast"/>
          <w:jc w:val="center"/>
        </w:trPr>
        <w:tc>
          <w:tcPr>
            <w:tcW w:w="1819" w:type="dxa"/>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投诉回应时间</w:t>
            </w:r>
          </w:p>
        </w:tc>
        <w:tc>
          <w:tcPr>
            <w:tcW w:w="5938" w:type="dxa"/>
            <w:tcBorders>
              <w:top w:val="nil"/>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接到投诉后4小时内给予回复的比率（4小时内回复次数/收到的总投诉次数*100%）</w:t>
            </w:r>
          </w:p>
        </w:tc>
        <w:tc>
          <w:tcPr>
            <w:tcW w:w="1606"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≥99%</w:t>
            </w:r>
          </w:p>
        </w:tc>
      </w:tr>
      <w:tr>
        <w:tblPrEx>
          <w:tblLayout w:type="fixed"/>
          <w:tblCellMar>
            <w:top w:w="0" w:type="dxa"/>
            <w:left w:w="108" w:type="dxa"/>
            <w:bottom w:w="0" w:type="dxa"/>
            <w:right w:w="108" w:type="dxa"/>
          </w:tblCellMar>
        </w:tblPrEx>
        <w:trPr>
          <w:trHeight w:val="558" w:hRule="atLeast"/>
          <w:jc w:val="center"/>
        </w:trPr>
        <w:tc>
          <w:tcPr>
            <w:tcW w:w="9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spacing w:line="360" w:lineRule="auto"/>
              <w:rPr>
                <w:rFonts w:cs="Calibri" w:eastAsiaTheme="minorEastAsia"/>
                <w:sz w:val="24"/>
                <w:szCs w:val="24"/>
              </w:rPr>
            </w:pPr>
            <w:r>
              <w:rPr>
                <w:rFonts w:cs="Calibri" w:eastAsiaTheme="minorEastAsia"/>
                <w:sz w:val="24"/>
                <w:szCs w:val="24"/>
              </w:rPr>
              <w:t>乙方应提供网站查询等多种主动和被动工具供甲方及时获取最新货物运输状态。如甲方提出要求，乙方应及时以邮件等方式（2个工作日内）提供有“签收方签名的清洁或不清洁”承运单据。</w:t>
            </w:r>
          </w:p>
        </w:tc>
      </w:tr>
    </w:tbl>
    <w:p>
      <w:pPr>
        <w:snapToGrid w:val="0"/>
        <w:spacing w:line="360" w:lineRule="auto"/>
        <w:rPr>
          <w:rFonts w:cs="Calibri" w:eastAsiaTheme="minorEastAsia"/>
          <w:bCs/>
          <w:snapToGrid w:val="0"/>
          <w:sz w:val="24"/>
          <w:szCs w:val="24"/>
        </w:rPr>
        <w:sectPr>
          <w:pgSz w:w="11906" w:h="16838"/>
          <w:pgMar w:top="1247" w:right="1247" w:bottom="1247" w:left="1247" w:header="851" w:footer="850" w:gutter="0"/>
          <w:pgNumType w:fmt="decimal"/>
          <w:cols w:space="720" w:num="1"/>
          <w:docGrid w:linePitch="286" w:charSpace="0"/>
        </w:sectPr>
      </w:pPr>
    </w:p>
    <w:p>
      <w:pPr>
        <w:numPr>
          <w:ilvl w:val="-1"/>
          <w:numId w:val="0"/>
        </w:numPr>
        <w:spacing w:line="360" w:lineRule="auto"/>
        <w:ind w:left="0" w:firstLine="0"/>
        <w:rPr>
          <w:rFonts w:hint="eastAsia" w:cs="Calibri" w:eastAsiaTheme="minorEastAsia"/>
          <w:b/>
          <w:sz w:val="24"/>
          <w:szCs w:val="24"/>
          <w:lang w:val="en-US" w:eastAsia="zh-CN"/>
        </w:rPr>
      </w:pPr>
      <w:r>
        <w:rPr>
          <w:rFonts w:hint="eastAsia" w:cs="Calibri" w:eastAsiaTheme="minorEastAsia"/>
          <w:b/>
          <w:sz w:val="24"/>
          <w:szCs w:val="24"/>
          <w:lang w:eastAsia="zh-CN"/>
        </w:rPr>
        <w:t>附件</w:t>
      </w:r>
      <w:r>
        <w:rPr>
          <w:rFonts w:hint="eastAsia" w:cs="Calibri" w:eastAsiaTheme="minorEastAsia"/>
          <w:b/>
          <w:sz w:val="24"/>
          <w:szCs w:val="24"/>
          <w:lang w:val="en-US" w:eastAsia="zh-CN"/>
        </w:rPr>
        <w:t>5 保密协议</w:t>
      </w:r>
    </w:p>
    <w:p>
      <w:pPr>
        <w:pStyle w:val="2"/>
        <w:rPr>
          <w:rFonts w:hint="eastAsia" w:cs="Calibri" w:eastAsiaTheme="minorEastAsia"/>
          <w:b/>
          <w:sz w:val="24"/>
          <w:szCs w:val="24"/>
          <w:lang w:val="en-US" w:eastAsia="zh-CN"/>
        </w:rPr>
      </w:pPr>
    </w:p>
    <w:p>
      <w:pPr>
        <w:rPr>
          <w:rFonts w:hint="eastAsia" w:cs="Calibri" w:eastAsiaTheme="minorEastAsia"/>
          <w:b/>
          <w:sz w:val="24"/>
          <w:szCs w:val="24"/>
          <w:lang w:val="en-US" w:eastAsia="zh-CN"/>
        </w:rPr>
      </w:pPr>
    </w:p>
    <w:p>
      <w:pPr>
        <w:ind w:firstLine="643" w:firstLineChars="200"/>
        <w:jc w:val="center"/>
        <w:rPr>
          <w:rFonts w:ascii="新宋体" w:hAnsi="新宋体" w:eastAsia="新宋体" w:cs="新宋体"/>
          <w:b/>
          <w:bCs/>
          <w:sz w:val="32"/>
          <w:szCs w:val="28"/>
        </w:rPr>
      </w:pPr>
      <w:r>
        <w:rPr>
          <w:rFonts w:hint="eastAsia" w:ascii="新宋体" w:hAnsi="新宋体" w:eastAsia="新宋体" w:cs="新宋体"/>
          <w:b/>
          <w:bCs/>
          <w:sz w:val="32"/>
          <w:szCs w:val="28"/>
        </w:rPr>
        <w:t>保密协议</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本协议为以下双方签署的航材国际</w:t>
      </w:r>
      <w:r>
        <w:rPr>
          <w:rFonts w:hint="eastAsia" w:cs="Calibri" w:eastAsiaTheme="minorEastAsia"/>
          <w:sz w:val="24"/>
          <w:szCs w:val="24"/>
          <w:lang w:eastAsia="zh-CN"/>
        </w:rPr>
        <w:t>快递运输</w:t>
      </w:r>
      <w:r>
        <w:rPr>
          <w:rFonts w:hint="eastAsia" w:cs="Calibri" w:eastAsiaTheme="minorEastAsia"/>
          <w:sz w:val="24"/>
          <w:szCs w:val="24"/>
        </w:rPr>
        <w:t>服务合同（以下称合同）的附件，规定了双方的保密权利义务，是合同不可分割的组成部分。本协议的效力独立于合同，合同的无效、变更、解除或者终止等，不影响双方承担本协议约定的保密义务。</w:t>
      </w:r>
    </w:p>
    <w:p>
      <w:pPr>
        <w:spacing w:line="360" w:lineRule="auto"/>
        <w:rPr>
          <w:rFonts w:cs="Calibri" w:eastAsiaTheme="minorEastAsia"/>
          <w:sz w:val="24"/>
          <w:szCs w:val="24"/>
        </w:rPr>
      </w:pPr>
    </w:p>
    <w:p>
      <w:pPr>
        <w:spacing w:line="360" w:lineRule="auto"/>
        <w:rPr>
          <w:rFonts w:ascii="新宋体" w:hAnsi="新宋体" w:eastAsia="新宋体" w:cs="新宋体"/>
          <w:b/>
          <w:bCs/>
          <w:sz w:val="24"/>
        </w:rPr>
      </w:pPr>
      <w:r>
        <w:rPr>
          <w:rFonts w:hint="eastAsia" w:ascii="新宋体" w:hAnsi="新宋体" w:eastAsia="新宋体" w:cs="新宋体"/>
          <w:b/>
          <w:bCs/>
          <w:sz w:val="24"/>
        </w:rPr>
        <w:t>甲方：</w:t>
      </w:r>
      <w:r>
        <w:rPr>
          <w:rFonts w:hint="eastAsia" w:ascii="新宋体" w:hAnsi="新宋体" w:eastAsia="新宋体" w:cs="新宋体"/>
          <w:b/>
          <w:bCs/>
          <w:sz w:val="24"/>
        </w:rPr>
        <w:tab/>
      </w:r>
      <w:r>
        <w:rPr>
          <w:rFonts w:hint="eastAsia" w:ascii="新宋体" w:hAnsi="新宋体" w:eastAsia="新宋体" w:cs="新宋体"/>
          <w:b/>
          <w:bCs/>
          <w:sz w:val="24"/>
        </w:rPr>
        <w:t>上海飞机客户服务有限公司</w:t>
      </w:r>
    </w:p>
    <w:p>
      <w:pPr>
        <w:spacing w:line="360" w:lineRule="auto"/>
        <w:rPr>
          <w:rFonts w:cs="Calibri" w:eastAsiaTheme="minorEastAsia"/>
          <w:sz w:val="24"/>
          <w:szCs w:val="24"/>
        </w:rPr>
      </w:pPr>
      <w:r>
        <w:rPr>
          <w:rFonts w:hint="eastAsia" w:cs="Calibri" w:eastAsiaTheme="minorEastAsia"/>
          <w:sz w:val="24"/>
          <w:szCs w:val="24"/>
        </w:rPr>
        <w:t>地址：</w:t>
      </w:r>
      <w:r>
        <w:rPr>
          <w:rFonts w:hint="eastAsia" w:cs="Calibri" w:eastAsiaTheme="minorEastAsia"/>
          <w:sz w:val="24"/>
          <w:szCs w:val="24"/>
        </w:rPr>
        <w:tab/>
      </w:r>
      <w:r>
        <w:rPr>
          <w:rFonts w:hint="eastAsia" w:cs="Calibri" w:eastAsiaTheme="minorEastAsia"/>
          <w:sz w:val="24"/>
          <w:szCs w:val="24"/>
        </w:rPr>
        <w:t>上海市江川东路100号</w:t>
      </w:r>
    </w:p>
    <w:p>
      <w:pPr>
        <w:spacing w:line="360" w:lineRule="auto"/>
        <w:rPr>
          <w:rFonts w:cs="Calibri" w:eastAsiaTheme="minorEastAsia"/>
          <w:sz w:val="24"/>
          <w:szCs w:val="24"/>
        </w:rPr>
      </w:pPr>
    </w:p>
    <w:p>
      <w:pPr>
        <w:spacing w:line="360" w:lineRule="auto"/>
        <w:rPr>
          <w:rFonts w:ascii="新宋体" w:hAnsi="新宋体" w:eastAsia="新宋体" w:cs="新宋体"/>
          <w:b/>
          <w:bCs/>
          <w:sz w:val="24"/>
        </w:rPr>
      </w:pPr>
      <w:r>
        <w:rPr>
          <w:rFonts w:hint="eastAsia" w:ascii="新宋体" w:hAnsi="新宋体" w:eastAsia="新宋体" w:cs="新宋体"/>
          <w:b/>
          <w:bCs/>
          <w:sz w:val="24"/>
        </w:rPr>
        <w:t>乙方：</w:t>
      </w:r>
      <w:r>
        <w:rPr>
          <w:rFonts w:hint="eastAsia" w:ascii="新宋体" w:hAnsi="新宋体" w:eastAsia="新宋体" w:cs="新宋体"/>
          <w:b/>
          <w:bCs/>
          <w:sz w:val="24"/>
        </w:rPr>
        <w:tab/>
      </w:r>
    </w:p>
    <w:p>
      <w:pPr>
        <w:spacing w:line="360" w:lineRule="auto"/>
        <w:rPr>
          <w:rFonts w:cs="Calibri" w:eastAsiaTheme="minorEastAsia"/>
          <w:sz w:val="24"/>
          <w:szCs w:val="24"/>
        </w:rPr>
      </w:pPr>
      <w:r>
        <w:rPr>
          <w:rFonts w:hint="eastAsia" w:cs="Calibri" w:eastAsiaTheme="minorEastAsia"/>
          <w:sz w:val="24"/>
          <w:szCs w:val="24"/>
        </w:rPr>
        <w:t>地址：</w:t>
      </w:r>
      <w:r>
        <w:rPr>
          <w:rFonts w:hint="eastAsia" w:cs="Calibri" w:eastAsiaTheme="minorEastAsia"/>
          <w:sz w:val="24"/>
          <w:szCs w:val="24"/>
        </w:rPr>
        <w:tab/>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甲方和乙方以下分别称为“一方”，合称“双方”。</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鉴于：</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1.</w:t>
      </w:r>
      <w:r>
        <w:rPr>
          <w:rFonts w:hint="eastAsia" w:cs="Calibri" w:eastAsiaTheme="minorEastAsia"/>
          <w:sz w:val="24"/>
          <w:szCs w:val="24"/>
        </w:rPr>
        <w:tab/>
      </w:r>
      <w:r>
        <w:rPr>
          <w:rFonts w:hint="eastAsia" w:cs="Calibri" w:eastAsiaTheme="minorEastAsia"/>
          <w:sz w:val="24"/>
          <w:szCs w:val="24"/>
        </w:rPr>
        <w:t>甲方与乙方就航材国际</w:t>
      </w:r>
      <w:r>
        <w:rPr>
          <w:rFonts w:hint="eastAsia" w:cs="Calibri" w:eastAsiaTheme="minorEastAsia"/>
          <w:sz w:val="24"/>
          <w:szCs w:val="24"/>
          <w:lang w:eastAsia="zh-CN"/>
        </w:rPr>
        <w:t>快递</w:t>
      </w:r>
      <w:r>
        <w:rPr>
          <w:rFonts w:hint="eastAsia" w:cs="Calibri" w:eastAsiaTheme="minorEastAsia"/>
          <w:sz w:val="24"/>
          <w:szCs w:val="24"/>
        </w:rPr>
        <w:t>运输服务项目签订航材国际</w:t>
      </w:r>
      <w:r>
        <w:rPr>
          <w:rFonts w:hint="eastAsia" w:cs="Calibri" w:eastAsiaTheme="minorEastAsia"/>
          <w:sz w:val="24"/>
          <w:szCs w:val="24"/>
          <w:lang w:eastAsia="zh-CN"/>
        </w:rPr>
        <w:t>快递</w:t>
      </w:r>
      <w:r>
        <w:rPr>
          <w:rFonts w:hint="eastAsia" w:cs="Calibri" w:eastAsiaTheme="minorEastAsia"/>
          <w:sz w:val="24"/>
          <w:szCs w:val="24"/>
        </w:rPr>
        <w:t>运输服务合同；</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2.</w:t>
      </w:r>
      <w:r>
        <w:rPr>
          <w:rFonts w:hint="eastAsia" w:cs="Calibri" w:eastAsiaTheme="minorEastAsia"/>
          <w:sz w:val="24"/>
          <w:szCs w:val="24"/>
        </w:rPr>
        <w:tab/>
      </w:r>
      <w:r>
        <w:rPr>
          <w:rFonts w:hint="eastAsia" w:cs="Calibri" w:eastAsiaTheme="minorEastAsia"/>
          <w:sz w:val="24"/>
          <w:szCs w:val="24"/>
        </w:rPr>
        <w:t>甲乙双方将在符合各自法律规定及政府许可的范围内，为合同的洽谈、签订及履行（以下称合作）交换相关的“专有信息”。为制定披露“专有信息”时需满足的条件和控制“专有信息”的使用和保护的规则，保障双方的“专有信息”得到保护。</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经友好协商，双方共同达成协议如下：</w:t>
      </w:r>
    </w:p>
    <w:p>
      <w:pPr>
        <w:ind w:left="425" w:hanging="425"/>
        <w:jc w:val="center"/>
        <w:rPr>
          <w:rFonts w:ascii="新宋体" w:hAnsi="新宋体" w:eastAsia="新宋体" w:cs="新宋体"/>
          <w:b/>
          <w:bCs/>
          <w:sz w:val="24"/>
        </w:rPr>
      </w:pPr>
    </w:p>
    <w:p>
      <w:pPr>
        <w:ind w:left="425" w:hanging="425"/>
        <w:jc w:val="center"/>
        <w:rPr>
          <w:rFonts w:ascii="新宋体" w:hAnsi="新宋体" w:eastAsia="新宋体" w:cs="新宋体"/>
          <w:b/>
          <w:bCs/>
          <w:sz w:val="24"/>
        </w:rPr>
      </w:pPr>
      <w:r>
        <w:rPr>
          <w:rFonts w:hint="eastAsia" w:ascii="新宋体" w:hAnsi="新宋体" w:eastAsia="新宋体" w:cs="新宋体"/>
          <w:b/>
          <w:bCs/>
          <w:sz w:val="24"/>
        </w:rPr>
        <w:t>1. 专有信息</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1.1.</w:t>
      </w:r>
      <w:r>
        <w:rPr>
          <w:rFonts w:hint="eastAsia" w:cs="Calibri" w:eastAsiaTheme="minorEastAsia"/>
          <w:sz w:val="24"/>
          <w:szCs w:val="24"/>
        </w:rPr>
        <w:tab/>
      </w:r>
      <w:r>
        <w:rPr>
          <w:rFonts w:hint="eastAsia" w:cs="Calibri" w:eastAsiaTheme="minorEastAsia"/>
          <w:sz w:val="24"/>
          <w:szCs w:val="24"/>
        </w:rPr>
        <w:t>专有信息是指：本协议一方（“披露方”）根据合作的需要通过书面、口头、视觉、图示或其他任何形式向另一方（“接收方”）提供的信息、文件或数据，该等信息、文件或数据的内容包括但不限于：</w:t>
      </w:r>
    </w:p>
    <w:p>
      <w:pPr>
        <w:spacing w:line="360" w:lineRule="auto"/>
        <w:rPr>
          <w:rFonts w:cs="Calibri" w:eastAsiaTheme="minorEastAsia"/>
          <w:sz w:val="24"/>
          <w:szCs w:val="24"/>
        </w:rPr>
      </w:pPr>
      <w:r>
        <w:rPr>
          <w:rFonts w:hint="eastAsia" w:cs="Calibri" w:eastAsiaTheme="minorEastAsia"/>
          <w:sz w:val="24"/>
          <w:szCs w:val="24"/>
        </w:rPr>
        <w:t>(1)</w:t>
      </w:r>
      <w:r>
        <w:rPr>
          <w:rFonts w:hint="eastAsia" w:cs="Calibri" w:eastAsiaTheme="minorEastAsia"/>
          <w:sz w:val="24"/>
          <w:szCs w:val="24"/>
        </w:rPr>
        <w:tab/>
      </w:r>
      <w:r>
        <w:rPr>
          <w:rFonts w:hint="eastAsia" w:cs="Calibri" w:eastAsiaTheme="minorEastAsia"/>
          <w:sz w:val="24"/>
          <w:szCs w:val="24"/>
        </w:rPr>
        <w:t>与合作事项相关的市场、协议、技术、商业、财务等方面的信息；</w:t>
      </w:r>
    </w:p>
    <w:p>
      <w:pPr>
        <w:spacing w:line="360" w:lineRule="auto"/>
        <w:rPr>
          <w:rFonts w:cs="Calibri" w:eastAsiaTheme="minorEastAsia"/>
          <w:sz w:val="24"/>
          <w:szCs w:val="24"/>
        </w:rPr>
      </w:pPr>
      <w:r>
        <w:rPr>
          <w:rFonts w:hint="eastAsia" w:cs="Calibri" w:eastAsiaTheme="minorEastAsia"/>
          <w:sz w:val="24"/>
          <w:szCs w:val="24"/>
        </w:rPr>
        <w:t>(2)</w:t>
      </w:r>
      <w:r>
        <w:rPr>
          <w:rFonts w:hint="eastAsia" w:cs="Calibri" w:eastAsiaTheme="minorEastAsia"/>
          <w:sz w:val="24"/>
          <w:szCs w:val="24"/>
        </w:rPr>
        <w:tab/>
      </w:r>
      <w:r>
        <w:rPr>
          <w:rFonts w:hint="eastAsia" w:cs="Calibri" w:eastAsiaTheme="minorEastAsia"/>
          <w:sz w:val="24"/>
          <w:szCs w:val="24"/>
        </w:rPr>
        <w:t>根据上述信息制成的注解、分析、汇编、研究、解释等衍生文件；以及</w:t>
      </w:r>
    </w:p>
    <w:p>
      <w:pPr>
        <w:spacing w:line="360" w:lineRule="auto"/>
        <w:rPr>
          <w:rFonts w:cs="Calibri" w:eastAsiaTheme="minorEastAsia"/>
          <w:sz w:val="24"/>
          <w:szCs w:val="24"/>
        </w:rPr>
      </w:pPr>
      <w:r>
        <w:rPr>
          <w:rFonts w:hint="eastAsia" w:cs="Calibri" w:eastAsiaTheme="minorEastAsia"/>
          <w:sz w:val="24"/>
          <w:szCs w:val="24"/>
        </w:rPr>
        <w:t>(3)</w:t>
      </w:r>
      <w:r>
        <w:rPr>
          <w:rFonts w:hint="eastAsia" w:cs="Calibri" w:eastAsiaTheme="minorEastAsia"/>
          <w:sz w:val="24"/>
          <w:szCs w:val="24"/>
        </w:rPr>
        <w:tab/>
      </w:r>
      <w:r>
        <w:rPr>
          <w:rFonts w:hint="eastAsia" w:cs="Calibri" w:eastAsiaTheme="minorEastAsia"/>
          <w:sz w:val="24"/>
          <w:szCs w:val="24"/>
        </w:rPr>
        <w:t>与合作事项相关的协议、意向书、备忘录、招投标书及其他文件。</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1.2.</w:t>
      </w:r>
      <w:r>
        <w:rPr>
          <w:rFonts w:hint="eastAsia" w:cs="Calibri" w:eastAsiaTheme="minorEastAsia"/>
          <w:sz w:val="24"/>
          <w:szCs w:val="24"/>
        </w:rPr>
        <w:tab/>
      </w:r>
      <w:r>
        <w:rPr>
          <w:rFonts w:hint="eastAsia" w:cs="Calibri" w:eastAsiaTheme="minorEastAsia"/>
          <w:sz w:val="24"/>
          <w:szCs w:val="24"/>
        </w:rPr>
        <w:t>为免疑义，专有信息包括披露方自身的专有信息，以及由第三方所有并经第三方授权而由披露方向接收方披露的专有信息。但本协议第4条规定的信息不属于专有信息。</w:t>
      </w:r>
    </w:p>
    <w:p>
      <w:pPr>
        <w:spacing w:line="360" w:lineRule="auto"/>
        <w:rPr>
          <w:rFonts w:cs="Calibri" w:eastAsiaTheme="minorEastAsia"/>
          <w:sz w:val="24"/>
          <w:szCs w:val="24"/>
        </w:rPr>
      </w:pPr>
    </w:p>
    <w:p>
      <w:pPr>
        <w:ind w:left="425" w:hanging="425"/>
        <w:jc w:val="center"/>
        <w:rPr>
          <w:rFonts w:ascii="新宋体" w:hAnsi="新宋体" w:eastAsia="新宋体" w:cs="新宋体"/>
          <w:b/>
          <w:bCs/>
          <w:sz w:val="24"/>
        </w:rPr>
      </w:pPr>
      <w:r>
        <w:rPr>
          <w:rFonts w:hint="eastAsia" w:ascii="新宋体" w:hAnsi="新宋体" w:eastAsia="新宋体" w:cs="新宋体"/>
          <w:b/>
          <w:bCs/>
          <w:sz w:val="24"/>
        </w:rPr>
        <w:t>2.</w:t>
      </w:r>
      <w:r>
        <w:rPr>
          <w:rFonts w:hint="eastAsia" w:ascii="新宋体" w:hAnsi="新宋体" w:eastAsia="新宋体" w:cs="新宋体"/>
          <w:b/>
          <w:bCs/>
          <w:sz w:val="24"/>
        </w:rPr>
        <w:tab/>
      </w:r>
      <w:r>
        <w:rPr>
          <w:rFonts w:hint="eastAsia" w:ascii="新宋体" w:hAnsi="新宋体" w:eastAsia="新宋体" w:cs="新宋体"/>
          <w:b/>
          <w:bCs/>
          <w:sz w:val="24"/>
        </w:rPr>
        <w:t>专有信息的识别</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2.1.</w:t>
      </w:r>
      <w:r>
        <w:rPr>
          <w:rFonts w:hint="eastAsia" w:cs="Calibri" w:eastAsiaTheme="minorEastAsia"/>
          <w:sz w:val="24"/>
          <w:szCs w:val="24"/>
        </w:rPr>
        <w:tab/>
      </w:r>
      <w:r>
        <w:rPr>
          <w:rFonts w:hint="eastAsia" w:cs="Calibri" w:eastAsiaTheme="minorEastAsia"/>
          <w:sz w:val="24"/>
          <w:szCs w:val="24"/>
        </w:rPr>
        <w:t>当专有信息以书面形式提供时，披露方应在专有信息载体上清楚和醒目地将之标记为“保密”。</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2.2.</w:t>
      </w:r>
      <w:r>
        <w:rPr>
          <w:rFonts w:hint="eastAsia" w:cs="Calibri" w:eastAsiaTheme="minorEastAsia"/>
          <w:sz w:val="24"/>
          <w:szCs w:val="24"/>
        </w:rPr>
        <w:tab/>
      </w:r>
      <w:r>
        <w:rPr>
          <w:rFonts w:hint="eastAsia" w:cs="Calibri" w:eastAsiaTheme="minorEastAsia"/>
          <w:sz w:val="24"/>
          <w:szCs w:val="24"/>
        </w:rPr>
        <w:t>当专有信息以听觉或视觉形式提供时，披露方在披露的同时应提醒接收方对信息进行保密。该专有信息披露之日起三十(30)天内，披露方应向接收方提供书面信息，把已提供的听觉或视觉信息定为“保密”。</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2.3.</w:t>
      </w:r>
      <w:r>
        <w:rPr>
          <w:rFonts w:hint="eastAsia" w:cs="Calibri" w:eastAsiaTheme="minorEastAsia"/>
          <w:sz w:val="24"/>
          <w:szCs w:val="24"/>
        </w:rPr>
        <w:tab/>
      </w:r>
      <w:r>
        <w:rPr>
          <w:rFonts w:hint="eastAsia" w:cs="Calibri" w:eastAsiaTheme="minorEastAsia"/>
          <w:sz w:val="24"/>
          <w:szCs w:val="24"/>
        </w:rPr>
        <w:t>通过电子形式传输的专有信息（包括但不限于传真、电子邮件等），在披露时必须被合适、显著、清晰地标记为“保密”，并且此种标记应是易于辨识的。</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2.4.</w:t>
      </w:r>
      <w:r>
        <w:rPr>
          <w:rFonts w:hint="eastAsia" w:cs="Calibri" w:eastAsiaTheme="minorEastAsia"/>
          <w:sz w:val="24"/>
          <w:szCs w:val="24"/>
        </w:rPr>
        <w:tab/>
      </w:r>
      <w:r>
        <w:rPr>
          <w:rFonts w:hint="eastAsia" w:cs="Calibri" w:eastAsiaTheme="minorEastAsia"/>
          <w:sz w:val="24"/>
          <w:szCs w:val="24"/>
        </w:rPr>
        <w:t>当传递的专有信息以磁盘或其他任何非纸质介质作为载体记录时，该等信息在阅读时应能被识别为专有信息。若此类信息无法被识别为专有信息，则披露方应把这类信息转换成书面的形式，若此种转换无法完成时，披露方应将其以书面摘要的形式来表述，并将该书面摘要标记为“保密”，然后再将该等书面摘要披露给接收方。</w:t>
      </w:r>
    </w:p>
    <w:p>
      <w:pPr>
        <w:spacing w:line="360" w:lineRule="auto"/>
        <w:rPr>
          <w:rFonts w:cs="Calibri" w:eastAsiaTheme="minorEastAsia"/>
          <w:sz w:val="24"/>
          <w:szCs w:val="24"/>
        </w:rPr>
      </w:pPr>
    </w:p>
    <w:p>
      <w:pPr>
        <w:ind w:left="425" w:hanging="425"/>
        <w:jc w:val="center"/>
        <w:rPr>
          <w:rFonts w:ascii="新宋体" w:hAnsi="新宋体" w:eastAsia="新宋体" w:cs="新宋体"/>
          <w:b/>
          <w:bCs/>
          <w:sz w:val="24"/>
        </w:rPr>
      </w:pPr>
      <w:r>
        <w:rPr>
          <w:rFonts w:hint="eastAsia" w:ascii="新宋体" w:hAnsi="新宋体" w:eastAsia="新宋体" w:cs="新宋体"/>
          <w:b/>
          <w:bCs/>
          <w:sz w:val="24"/>
        </w:rPr>
        <w:t>3.</w:t>
      </w:r>
      <w:r>
        <w:rPr>
          <w:rFonts w:hint="eastAsia" w:ascii="新宋体" w:hAnsi="新宋体" w:eastAsia="新宋体" w:cs="新宋体"/>
          <w:b/>
          <w:bCs/>
          <w:sz w:val="24"/>
        </w:rPr>
        <w:tab/>
      </w:r>
      <w:r>
        <w:rPr>
          <w:rFonts w:hint="eastAsia" w:ascii="新宋体" w:hAnsi="新宋体" w:eastAsia="新宋体" w:cs="新宋体"/>
          <w:b/>
          <w:bCs/>
          <w:sz w:val="24"/>
        </w:rPr>
        <w:t>保密义务</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甲乙双方互为专有信息的披露方和接收方，并各自分别向对方负有保密义务，承担保密责任，接收方保证：</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3.1.</w:t>
      </w:r>
      <w:r>
        <w:rPr>
          <w:rFonts w:hint="eastAsia" w:cs="Calibri" w:eastAsiaTheme="minorEastAsia"/>
          <w:sz w:val="24"/>
          <w:szCs w:val="24"/>
        </w:rPr>
        <w:tab/>
      </w:r>
      <w:r>
        <w:rPr>
          <w:rFonts w:hint="eastAsia" w:cs="Calibri" w:eastAsiaTheme="minorEastAsia"/>
          <w:sz w:val="24"/>
          <w:szCs w:val="24"/>
        </w:rPr>
        <w:t>使用和保管接收到的专有信息应采用同保护自己的专有信息相同等级的措施，但不得低于商业上的合理保护程度。一旦发现未经授权的泄密，应尽其最大的努力阻止继续泄密，并将泄密情况立即书面通知披露方；</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3.2.</w:t>
      </w:r>
      <w:r>
        <w:rPr>
          <w:rFonts w:hint="eastAsia" w:cs="Calibri" w:eastAsiaTheme="minorEastAsia"/>
          <w:sz w:val="24"/>
          <w:szCs w:val="24"/>
        </w:rPr>
        <w:tab/>
      </w:r>
      <w:r>
        <w:rPr>
          <w:rFonts w:hint="eastAsia" w:cs="Calibri" w:eastAsiaTheme="minorEastAsia"/>
          <w:sz w:val="24"/>
          <w:szCs w:val="24"/>
        </w:rPr>
        <w:t>根据本协议的规定，保护接收到的专有信息，除非发生本协议第4条规定的情形；</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3.3.</w:t>
      </w:r>
      <w:r>
        <w:rPr>
          <w:rFonts w:hint="eastAsia" w:cs="Calibri" w:eastAsiaTheme="minorEastAsia"/>
          <w:sz w:val="24"/>
          <w:szCs w:val="24"/>
        </w:rPr>
        <w:tab/>
      </w:r>
      <w:r>
        <w:rPr>
          <w:rFonts w:hint="eastAsia" w:cs="Calibri" w:eastAsiaTheme="minorEastAsia"/>
          <w:sz w:val="24"/>
          <w:szCs w:val="24"/>
        </w:rPr>
        <w:t>接收到的专有信息应该仅用于与合作有关的相应工作范围内；</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3.4.</w:t>
      </w:r>
      <w:r>
        <w:rPr>
          <w:rFonts w:hint="eastAsia" w:cs="Calibri" w:eastAsiaTheme="minorEastAsia"/>
          <w:sz w:val="24"/>
          <w:szCs w:val="24"/>
        </w:rPr>
        <w:tab/>
      </w:r>
      <w:r>
        <w:rPr>
          <w:rFonts w:hint="eastAsia" w:cs="Calibri" w:eastAsiaTheme="minorEastAsia"/>
          <w:sz w:val="24"/>
          <w:szCs w:val="24"/>
        </w:rPr>
        <w:t xml:space="preserve">不把接收到的专有信息披露给任何第三方，除非是为了合作的需要并且获得了披露方的事先书面授权或批准；此种披露必须符合本协议的要求，同时，接收方应按照本协议规定的条件和要求与接受其披露的第三方按照与本协议相同的条款和条件签署保密协议； </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3.5.</w:t>
      </w:r>
      <w:r>
        <w:rPr>
          <w:rFonts w:hint="eastAsia" w:cs="Calibri" w:eastAsiaTheme="minorEastAsia"/>
          <w:sz w:val="24"/>
          <w:szCs w:val="24"/>
        </w:rPr>
        <w:tab/>
      </w:r>
      <w:r>
        <w:rPr>
          <w:rFonts w:hint="eastAsia" w:cs="Calibri" w:eastAsiaTheme="minorEastAsia"/>
          <w:sz w:val="24"/>
          <w:szCs w:val="24"/>
        </w:rPr>
        <w:t>除了合作中每一方的内部有关雇员外，其他雇员不得复制接收到的专有信息，而参加于与合作有关工作的雇员停止该工作后也不得保存接收到的专有信息；</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3.6.</w:t>
      </w:r>
      <w:r>
        <w:rPr>
          <w:rFonts w:hint="eastAsia" w:cs="Calibri" w:eastAsiaTheme="minorEastAsia"/>
          <w:sz w:val="24"/>
          <w:szCs w:val="24"/>
        </w:rPr>
        <w:tab/>
      </w:r>
      <w:r>
        <w:rPr>
          <w:rFonts w:hint="eastAsia" w:cs="Calibri" w:eastAsiaTheme="minorEastAsia"/>
          <w:sz w:val="24"/>
          <w:szCs w:val="24"/>
        </w:rPr>
        <w:t>仅在以下情形下将专有信息向其雇员披露：1）该雇员因为合作必须知晓该专有信息；2）该雇员已经知晓该专有信息的保密性质；3）该雇员已经知晓其应当根据本协议的规定承担保密义务；</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3.7.</w:t>
      </w:r>
      <w:r>
        <w:rPr>
          <w:rFonts w:hint="eastAsia" w:cs="Calibri" w:eastAsiaTheme="minorEastAsia"/>
          <w:sz w:val="24"/>
          <w:szCs w:val="24"/>
        </w:rPr>
        <w:tab/>
      </w:r>
      <w:r>
        <w:rPr>
          <w:rFonts w:hint="eastAsia" w:cs="Calibri" w:eastAsiaTheme="minorEastAsia"/>
          <w:sz w:val="24"/>
          <w:szCs w:val="24"/>
        </w:rPr>
        <w:t>不得复制。除非本协议另有约定或获得披露方事先书面同意，接收方及其雇员不得复制接收到的专有信息，前提是该等信息应标记为“不得复制”或“不得复写”；</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3.8.</w:t>
      </w:r>
      <w:r>
        <w:rPr>
          <w:rFonts w:hint="eastAsia" w:cs="Calibri" w:eastAsiaTheme="minorEastAsia"/>
          <w:sz w:val="24"/>
          <w:szCs w:val="24"/>
        </w:rPr>
        <w:tab/>
      </w:r>
      <w:r>
        <w:rPr>
          <w:rFonts w:hint="eastAsia" w:cs="Calibri" w:eastAsiaTheme="minorEastAsia"/>
          <w:sz w:val="24"/>
          <w:szCs w:val="24"/>
        </w:rPr>
        <w:t>不得解码。接收方不得变更、修改、分解、反编解码或解析专有信息，除非获得专有信息披露方的事先书面同意；</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3.9.</w:t>
      </w:r>
      <w:r>
        <w:rPr>
          <w:rFonts w:hint="eastAsia" w:cs="Calibri" w:eastAsiaTheme="minorEastAsia"/>
          <w:sz w:val="24"/>
          <w:szCs w:val="24"/>
        </w:rPr>
        <w:tab/>
      </w:r>
      <w:r>
        <w:rPr>
          <w:rFonts w:hint="eastAsia" w:cs="Calibri" w:eastAsiaTheme="minorEastAsia"/>
          <w:sz w:val="24"/>
          <w:szCs w:val="24"/>
        </w:rPr>
        <w:t>在披露方要求时应立即退回或销毁接收到的专有信息。</w:t>
      </w:r>
    </w:p>
    <w:p>
      <w:pPr>
        <w:spacing w:line="360" w:lineRule="auto"/>
        <w:rPr>
          <w:rFonts w:cs="Calibri" w:eastAsiaTheme="minorEastAsia"/>
          <w:sz w:val="24"/>
          <w:szCs w:val="24"/>
        </w:rPr>
      </w:pPr>
    </w:p>
    <w:p>
      <w:pPr>
        <w:ind w:left="425" w:hanging="425"/>
        <w:jc w:val="center"/>
        <w:rPr>
          <w:rFonts w:ascii="新宋体" w:hAnsi="新宋体" w:eastAsia="新宋体" w:cs="新宋体"/>
          <w:b/>
          <w:bCs/>
          <w:sz w:val="24"/>
        </w:rPr>
      </w:pPr>
      <w:r>
        <w:rPr>
          <w:rFonts w:hint="eastAsia" w:ascii="新宋体" w:hAnsi="新宋体" w:eastAsia="新宋体" w:cs="新宋体"/>
          <w:b/>
          <w:bCs/>
          <w:sz w:val="24"/>
        </w:rPr>
        <w:t>4.</w:t>
      </w:r>
      <w:r>
        <w:rPr>
          <w:rFonts w:hint="eastAsia" w:ascii="新宋体" w:hAnsi="新宋体" w:eastAsia="新宋体" w:cs="新宋体"/>
          <w:b/>
          <w:bCs/>
          <w:sz w:val="24"/>
        </w:rPr>
        <w:tab/>
      </w:r>
      <w:r>
        <w:rPr>
          <w:rFonts w:hint="eastAsia" w:ascii="新宋体" w:hAnsi="新宋体" w:eastAsia="新宋体" w:cs="新宋体"/>
          <w:b/>
          <w:bCs/>
          <w:sz w:val="24"/>
        </w:rPr>
        <w:t>专有信息的例外</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下列信息不属于专有信息，不受本协议关于专有信息使用与处理的约束：</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4.1.</w:t>
      </w:r>
      <w:r>
        <w:rPr>
          <w:rFonts w:hint="eastAsia" w:cs="Calibri" w:eastAsiaTheme="minorEastAsia"/>
          <w:sz w:val="24"/>
          <w:szCs w:val="24"/>
        </w:rPr>
        <w:tab/>
      </w:r>
      <w:r>
        <w:rPr>
          <w:rFonts w:hint="eastAsia" w:cs="Calibri" w:eastAsiaTheme="minorEastAsia"/>
          <w:sz w:val="24"/>
          <w:szCs w:val="24"/>
        </w:rPr>
        <w:t>在接收之前已经成为公众所知，或接收后不是由于接收方的过错而成为公众所知的信息，或；</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4.2.</w:t>
      </w:r>
      <w:r>
        <w:rPr>
          <w:rFonts w:hint="eastAsia" w:cs="Calibri" w:eastAsiaTheme="minorEastAsia"/>
          <w:sz w:val="24"/>
          <w:szCs w:val="24"/>
        </w:rPr>
        <w:tab/>
      </w:r>
      <w:r>
        <w:rPr>
          <w:rFonts w:hint="eastAsia" w:cs="Calibri" w:eastAsiaTheme="minorEastAsia"/>
          <w:sz w:val="24"/>
          <w:szCs w:val="24"/>
        </w:rPr>
        <w:t>有证据证明，在披露方披露前已为接收方所知的信息，包括接收方通过合法途径从第三方得到的信息或由其自主研究得出的信息，或；</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4.3.</w:t>
      </w:r>
      <w:r>
        <w:rPr>
          <w:rFonts w:hint="eastAsia" w:cs="Calibri" w:eastAsiaTheme="minorEastAsia"/>
          <w:sz w:val="24"/>
          <w:szCs w:val="24"/>
        </w:rPr>
        <w:tab/>
      </w:r>
      <w:r>
        <w:rPr>
          <w:rFonts w:hint="eastAsia" w:cs="Calibri" w:eastAsiaTheme="minorEastAsia"/>
          <w:sz w:val="24"/>
          <w:szCs w:val="24"/>
        </w:rPr>
        <w:t>获得披露方书面解禁的专有信息，或；</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4.4.</w:t>
      </w:r>
      <w:r>
        <w:rPr>
          <w:rFonts w:hint="eastAsia" w:cs="Calibri" w:eastAsiaTheme="minorEastAsia"/>
          <w:sz w:val="24"/>
          <w:szCs w:val="24"/>
        </w:rPr>
        <w:tab/>
      </w:r>
      <w:r>
        <w:rPr>
          <w:rFonts w:hint="eastAsia" w:cs="Calibri" w:eastAsiaTheme="minorEastAsia"/>
          <w:sz w:val="24"/>
          <w:szCs w:val="24"/>
        </w:rPr>
        <w:t>根据有效的法律法规的要求或者有管辖权的法院、政府机构或者其他有权机构作出的命令而披露的专有信息。发生以上情形的，接收方应当立即通知披露方，以使披露方可以申请针对该等披露要求的保护令。</w:t>
      </w:r>
    </w:p>
    <w:p>
      <w:pPr>
        <w:spacing w:line="360" w:lineRule="auto"/>
        <w:rPr>
          <w:rFonts w:cs="Calibri" w:eastAsiaTheme="minorEastAsia"/>
          <w:sz w:val="24"/>
          <w:szCs w:val="24"/>
        </w:rPr>
      </w:pPr>
    </w:p>
    <w:p>
      <w:pPr>
        <w:ind w:left="425" w:hanging="425"/>
        <w:jc w:val="center"/>
        <w:rPr>
          <w:rFonts w:ascii="新宋体" w:hAnsi="新宋体" w:eastAsia="新宋体" w:cs="新宋体"/>
          <w:b/>
          <w:bCs/>
          <w:sz w:val="24"/>
        </w:rPr>
      </w:pPr>
      <w:r>
        <w:rPr>
          <w:rFonts w:hint="eastAsia" w:ascii="新宋体" w:hAnsi="新宋体" w:eastAsia="新宋体" w:cs="新宋体"/>
          <w:b/>
          <w:bCs/>
          <w:sz w:val="24"/>
        </w:rPr>
        <w:t>5.</w:t>
      </w:r>
      <w:r>
        <w:rPr>
          <w:rFonts w:hint="eastAsia" w:ascii="新宋体" w:hAnsi="新宋体" w:eastAsia="新宋体" w:cs="新宋体"/>
          <w:b/>
          <w:bCs/>
          <w:sz w:val="24"/>
        </w:rPr>
        <w:tab/>
      </w:r>
      <w:r>
        <w:rPr>
          <w:rFonts w:hint="eastAsia" w:ascii="新宋体" w:hAnsi="新宋体" w:eastAsia="新宋体" w:cs="新宋体"/>
          <w:b/>
          <w:bCs/>
          <w:sz w:val="24"/>
        </w:rPr>
        <w:t>专有信息的权利归属</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5.1.</w:t>
      </w:r>
      <w:r>
        <w:rPr>
          <w:rFonts w:hint="eastAsia" w:cs="Calibri" w:eastAsiaTheme="minorEastAsia"/>
          <w:sz w:val="24"/>
          <w:szCs w:val="24"/>
        </w:rPr>
        <w:tab/>
      </w:r>
      <w:r>
        <w:rPr>
          <w:rFonts w:hint="eastAsia" w:cs="Calibri" w:eastAsiaTheme="minorEastAsia"/>
          <w:sz w:val="24"/>
          <w:szCs w:val="24"/>
        </w:rPr>
        <w:t>双方同意，专有信息为披露方的财产，一切附着于其上的权利均排他性地归披露方所有。除本协议的规定外，专有信息的接收方并没有从披露方获得基于专有信息的其他任何权利。此款规定不适用于由第三方所有并经第三方授权而由披露方向接收方披露的专有信息。</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5.2.</w:t>
      </w:r>
      <w:r>
        <w:rPr>
          <w:rFonts w:hint="eastAsia" w:cs="Calibri" w:eastAsiaTheme="minorEastAsia"/>
          <w:sz w:val="24"/>
          <w:szCs w:val="24"/>
        </w:rPr>
        <w:tab/>
      </w:r>
      <w:r>
        <w:rPr>
          <w:rFonts w:hint="eastAsia" w:cs="Calibri" w:eastAsiaTheme="minorEastAsia"/>
          <w:sz w:val="24"/>
          <w:szCs w:val="24"/>
        </w:rPr>
        <w:t>本协议任何一方均有权就其自身的专有信息获得专利、设计、商标、版权或其组合等知识产权，且不得采取任何未经相对方同意的行为以获得另一方的专有信息所对应的知识产权或对该等知识产权提出异议。但该等专有信息是否包含可申请专利的发明、设计、受版权保护的资料应根据接收方所在地法律进行确定。</w:t>
      </w:r>
    </w:p>
    <w:p>
      <w:pPr>
        <w:spacing w:line="360" w:lineRule="auto"/>
        <w:rPr>
          <w:rFonts w:cs="Calibri" w:eastAsiaTheme="minorEastAsia"/>
          <w:sz w:val="24"/>
          <w:szCs w:val="24"/>
        </w:rPr>
      </w:pPr>
    </w:p>
    <w:p>
      <w:pPr>
        <w:ind w:left="425" w:hanging="425"/>
        <w:jc w:val="center"/>
        <w:rPr>
          <w:rFonts w:ascii="新宋体" w:hAnsi="新宋体" w:eastAsia="新宋体" w:cs="新宋体"/>
          <w:b/>
          <w:bCs/>
          <w:sz w:val="24"/>
        </w:rPr>
      </w:pPr>
      <w:r>
        <w:rPr>
          <w:rFonts w:hint="eastAsia" w:ascii="新宋体" w:hAnsi="新宋体" w:eastAsia="新宋体" w:cs="新宋体"/>
          <w:b/>
          <w:bCs/>
          <w:sz w:val="24"/>
        </w:rPr>
        <w:t>6.</w:t>
      </w:r>
      <w:r>
        <w:rPr>
          <w:rFonts w:hint="eastAsia" w:ascii="新宋体" w:hAnsi="新宋体" w:eastAsia="新宋体" w:cs="新宋体"/>
          <w:b/>
          <w:bCs/>
          <w:sz w:val="24"/>
        </w:rPr>
        <w:tab/>
      </w:r>
      <w:r>
        <w:rPr>
          <w:rFonts w:hint="eastAsia" w:ascii="新宋体" w:hAnsi="新宋体" w:eastAsia="新宋体" w:cs="新宋体"/>
          <w:b/>
          <w:bCs/>
          <w:sz w:val="24"/>
        </w:rPr>
        <w:t>专有信息的接收</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6.1.</w:t>
      </w:r>
      <w:r>
        <w:rPr>
          <w:rFonts w:hint="eastAsia" w:cs="Calibri" w:eastAsiaTheme="minorEastAsia"/>
          <w:sz w:val="24"/>
          <w:szCs w:val="24"/>
        </w:rPr>
        <w:tab/>
      </w:r>
      <w:r>
        <w:rPr>
          <w:rFonts w:hint="eastAsia" w:cs="Calibri" w:eastAsiaTheme="minorEastAsia"/>
          <w:sz w:val="24"/>
          <w:szCs w:val="24"/>
        </w:rPr>
        <w:t>本协议的双方均同意各指定一名本方的雇员，作为专有信息的唯一接收人，并且此指定的接收人必须遵守本协议的所有规定。指定的接收人发生变更的，变更方应及时通知另一方，因未及时通知造成的专有信息泄露的损失由变更方全部承担：</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甲方的指定接收人：</w:t>
      </w:r>
    </w:p>
    <w:p>
      <w:pPr>
        <w:spacing w:line="360" w:lineRule="auto"/>
        <w:rPr>
          <w:rFonts w:cs="Calibri" w:eastAsiaTheme="minorEastAsia"/>
          <w:sz w:val="24"/>
          <w:szCs w:val="24"/>
        </w:rPr>
      </w:pPr>
      <w:r>
        <w:rPr>
          <w:rFonts w:hint="eastAsia" w:cs="Calibri" w:eastAsiaTheme="minorEastAsia"/>
          <w:sz w:val="24"/>
          <w:szCs w:val="24"/>
        </w:rPr>
        <w:t>姓名：</w:t>
      </w:r>
    </w:p>
    <w:p>
      <w:pPr>
        <w:spacing w:line="360" w:lineRule="auto"/>
        <w:rPr>
          <w:rFonts w:cs="Calibri" w:eastAsiaTheme="minorEastAsia"/>
          <w:sz w:val="24"/>
          <w:szCs w:val="24"/>
        </w:rPr>
      </w:pPr>
      <w:r>
        <w:rPr>
          <w:rFonts w:hint="eastAsia" w:cs="Calibri" w:eastAsiaTheme="minorEastAsia"/>
          <w:sz w:val="24"/>
          <w:szCs w:val="24"/>
        </w:rPr>
        <w:t>部门：</w:t>
      </w:r>
    </w:p>
    <w:p>
      <w:pPr>
        <w:spacing w:line="360" w:lineRule="auto"/>
        <w:rPr>
          <w:rFonts w:cs="Calibri" w:eastAsiaTheme="minorEastAsia"/>
          <w:sz w:val="24"/>
          <w:szCs w:val="24"/>
        </w:rPr>
      </w:pPr>
      <w:r>
        <w:rPr>
          <w:rFonts w:hint="eastAsia" w:cs="Calibri" w:eastAsiaTheme="minorEastAsia"/>
          <w:sz w:val="24"/>
          <w:szCs w:val="24"/>
        </w:rPr>
        <w:t>电话：</w:t>
      </w:r>
    </w:p>
    <w:p>
      <w:pPr>
        <w:spacing w:line="360" w:lineRule="auto"/>
        <w:rPr>
          <w:rFonts w:cs="Calibri" w:eastAsiaTheme="minorEastAsia"/>
          <w:sz w:val="24"/>
          <w:szCs w:val="24"/>
        </w:rPr>
      </w:pPr>
      <w:r>
        <w:rPr>
          <w:rFonts w:hint="eastAsia" w:cs="Calibri" w:eastAsiaTheme="minorEastAsia"/>
          <w:sz w:val="24"/>
          <w:szCs w:val="24"/>
        </w:rPr>
        <w:t>电子邮箱：</w:t>
      </w:r>
    </w:p>
    <w:p>
      <w:pPr>
        <w:spacing w:line="360" w:lineRule="auto"/>
        <w:rPr>
          <w:rFonts w:cs="Calibri" w:eastAsiaTheme="minorEastAsia"/>
          <w:sz w:val="24"/>
          <w:szCs w:val="24"/>
        </w:rPr>
      </w:pPr>
      <w:r>
        <w:rPr>
          <w:rFonts w:hint="eastAsia" w:cs="Calibri" w:eastAsiaTheme="minorEastAsia"/>
          <w:sz w:val="24"/>
          <w:szCs w:val="24"/>
        </w:rPr>
        <w:t>联系地址：</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乙方的指定接收人：</w:t>
      </w:r>
    </w:p>
    <w:p>
      <w:pPr>
        <w:spacing w:line="360" w:lineRule="auto"/>
        <w:rPr>
          <w:rFonts w:cs="Calibri" w:eastAsiaTheme="minorEastAsia"/>
          <w:sz w:val="24"/>
          <w:szCs w:val="24"/>
        </w:rPr>
      </w:pPr>
      <w:r>
        <w:rPr>
          <w:rFonts w:hint="eastAsia" w:cs="Calibri" w:eastAsiaTheme="minorEastAsia"/>
          <w:sz w:val="24"/>
          <w:szCs w:val="24"/>
        </w:rPr>
        <w:t>姓名：</w:t>
      </w:r>
    </w:p>
    <w:p>
      <w:pPr>
        <w:spacing w:line="360" w:lineRule="auto"/>
        <w:rPr>
          <w:rFonts w:cs="Calibri" w:eastAsiaTheme="minorEastAsia"/>
          <w:sz w:val="24"/>
          <w:szCs w:val="24"/>
        </w:rPr>
      </w:pPr>
      <w:r>
        <w:rPr>
          <w:rFonts w:hint="eastAsia" w:cs="Calibri" w:eastAsiaTheme="minorEastAsia"/>
          <w:sz w:val="24"/>
          <w:szCs w:val="24"/>
        </w:rPr>
        <w:t>电话：</w:t>
      </w:r>
    </w:p>
    <w:p>
      <w:pPr>
        <w:spacing w:line="360" w:lineRule="auto"/>
        <w:rPr>
          <w:rFonts w:cs="Calibri" w:eastAsiaTheme="minorEastAsia"/>
          <w:sz w:val="24"/>
          <w:szCs w:val="24"/>
        </w:rPr>
      </w:pPr>
      <w:r>
        <w:rPr>
          <w:rFonts w:hint="eastAsia" w:cs="Calibri" w:eastAsiaTheme="minorEastAsia"/>
          <w:sz w:val="24"/>
          <w:szCs w:val="24"/>
        </w:rPr>
        <w:t>电子邮件：</w:t>
      </w:r>
    </w:p>
    <w:p>
      <w:pPr>
        <w:spacing w:line="360" w:lineRule="auto"/>
        <w:rPr>
          <w:rFonts w:cs="Calibri" w:eastAsiaTheme="minorEastAsia"/>
          <w:sz w:val="24"/>
          <w:szCs w:val="24"/>
        </w:rPr>
      </w:pPr>
      <w:r>
        <w:rPr>
          <w:rFonts w:hint="eastAsia" w:cs="Calibri" w:eastAsiaTheme="minorEastAsia"/>
          <w:sz w:val="24"/>
          <w:szCs w:val="24"/>
        </w:rPr>
        <w:t>联系地址：</w:t>
      </w:r>
    </w:p>
    <w:p>
      <w:pPr>
        <w:spacing w:line="360" w:lineRule="auto"/>
        <w:rPr>
          <w:rFonts w:cs="Calibri" w:eastAsiaTheme="minorEastAsia"/>
          <w:sz w:val="24"/>
          <w:szCs w:val="24"/>
        </w:rPr>
      </w:pPr>
    </w:p>
    <w:p>
      <w:pPr>
        <w:ind w:left="425" w:hanging="425"/>
        <w:jc w:val="center"/>
        <w:rPr>
          <w:rFonts w:ascii="新宋体" w:hAnsi="新宋体" w:eastAsia="新宋体" w:cs="新宋体"/>
          <w:b/>
          <w:bCs/>
          <w:sz w:val="24"/>
        </w:rPr>
      </w:pPr>
      <w:r>
        <w:rPr>
          <w:rFonts w:hint="eastAsia" w:ascii="新宋体" w:hAnsi="新宋体" w:eastAsia="新宋体" w:cs="新宋体"/>
          <w:b/>
          <w:bCs/>
          <w:sz w:val="24"/>
        </w:rPr>
        <w:t>7.</w:t>
      </w:r>
      <w:r>
        <w:rPr>
          <w:rFonts w:hint="eastAsia" w:ascii="新宋体" w:hAnsi="新宋体" w:eastAsia="新宋体" w:cs="新宋体"/>
          <w:b/>
          <w:bCs/>
          <w:sz w:val="24"/>
        </w:rPr>
        <w:tab/>
      </w:r>
      <w:r>
        <w:rPr>
          <w:rFonts w:hint="eastAsia" w:ascii="新宋体" w:hAnsi="新宋体" w:eastAsia="新宋体" w:cs="新宋体"/>
          <w:b/>
          <w:bCs/>
          <w:sz w:val="24"/>
        </w:rPr>
        <w:t>违约责任</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7.1.</w:t>
      </w:r>
      <w:r>
        <w:rPr>
          <w:rFonts w:hint="eastAsia" w:cs="Calibri" w:eastAsiaTheme="minorEastAsia"/>
          <w:sz w:val="24"/>
          <w:szCs w:val="24"/>
        </w:rPr>
        <w:tab/>
      </w:r>
      <w:r>
        <w:rPr>
          <w:rFonts w:hint="eastAsia" w:cs="Calibri" w:eastAsiaTheme="minorEastAsia"/>
          <w:sz w:val="24"/>
          <w:szCs w:val="24"/>
        </w:rPr>
        <w:t>本协议任一方违背协议约定导致另一方专有信息泄露或被不正当使用，违约方应承担违反本保密协议所产生的责任，就任何未经授权而使用或披露专有信息所产生的损害、损失、成本或责任向非违约方进行赔偿。</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7.2.</w:t>
      </w:r>
      <w:r>
        <w:rPr>
          <w:rFonts w:hint="eastAsia" w:cs="Calibri" w:eastAsiaTheme="minorEastAsia"/>
          <w:sz w:val="24"/>
          <w:szCs w:val="24"/>
        </w:rPr>
        <w:tab/>
      </w:r>
      <w:r>
        <w:rPr>
          <w:rFonts w:hint="eastAsia" w:cs="Calibri" w:eastAsiaTheme="minorEastAsia"/>
          <w:sz w:val="24"/>
          <w:szCs w:val="24"/>
        </w:rPr>
        <w:t>披露方保证本协议中的专有信息不包含未经第三方授权使用的秘密信息或专有信息，且披露方将为接收方辩护，赔偿接收方因使用其披露的专有信息而遭受的任何由第三方提起的索赔、责任、损失、裁判、诉讼、损害赔偿、成本、开支、费用、判决及律师费。披露方承担此项义务直至相关信息不再属于专有信息。</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7.3.</w:t>
      </w:r>
      <w:r>
        <w:rPr>
          <w:rFonts w:hint="eastAsia" w:cs="Calibri" w:eastAsiaTheme="minorEastAsia"/>
          <w:sz w:val="24"/>
          <w:szCs w:val="24"/>
        </w:rPr>
        <w:tab/>
      </w:r>
      <w:r>
        <w:rPr>
          <w:rFonts w:hint="eastAsia" w:cs="Calibri" w:eastAsiaTheme="minorEastAsia"/>
          <w:sz w:val="24"/>
          <w:szCs w:val="24"/>
        </w:rPr>
        <w:t>对于违约方违反保密义务向守约方赔偿的金额，若依据本协议第7.1条、第7.2条约定所计算的金额与依据合同正文约定所计算的金额不一致的，以合同正文约定的金额为准。</w:t>
      </w:r>
    </w:p>
    <w:p>
      <w:pPr>
        <w:spacing w:line="360" w:lineRule="auto"/>
        <w:rPr>
          <w:rFonts w:cs="Calibri" w:eastAsiaTheme="minorEastAsia"/>
          <w:sz w:val="24"/>
          <w:szCs w:val="24"/>
        </w:rPr>
      </w:pPr>
    </w:p>
    <w:p>
      <w:pPr>
        <w:ind w:left="425" w:hanging="425"/>
        <w:jc w:val="center"/>
        <w:rPr>
          <w:rFonts w:ascii="新宋体" w:hAnsi="新宋体" w:eastAsia="新宋体" w:cs="新宋体"/>
          <w:b/>
          <w:bCs/>
          <w:sz w:val="24"/>
        </w:rPr>
      </w:pPr>
      <w:r>
        <w:rPr>
          <w:rFonts w:hint="eastAsia" w:ascii="新宋体" w:hAnsi="新宋体" w:eastAsia="新宋体" w:cs="新宋体"/>
          <w:b/>
          <w:bCs/>
          <w:sz w:val="24"/>
        </w:rPr>
        <w:t>8.</w:t>
      </w:r>
      <w:r>
        <w:rPr>
          <w:rFonts w:hint="eastAsia" w:ascii="新宋体" w:hAnsi="新宋体" w:eastAsia="新宋体" w:cs="新宋体"/>
          <w:b/>
          <w:bCs/>
          <w:sz w:val="24"/>
        </w:rPr>
        <w:tab/>
      </w:r>
      <w:r>
        <w:rPr>
          <w:rFonts w:hint="eastAsia" w:ascii="新宋体" w:hAnsi="新宋体" w:eastAsia="新宋体" w:cs="新宋体"/>
          <w:b/>
          <w:bCs/>
          <w:sz w:val="24"/>
        </w:rPr>
        <w:t>综合条款</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8.1.</w:t>
      </w:r>
      <w:r>
        <w:rPr>
          <w:rFonts w:hint="eastAsia" w:cs="Calibri" w:eastAsiaTheme="minorEastAsia"/>
          <w:sz w:val="24"/>
          <w:szCs w:val="24"/>
        </w:rPr>
        <w:tab/>
      </w:r>
      <w:r>
        <w:rPr>
          <w:rFonts w:hint="eastAsia" w:cs="Calibri" w:eastAsiaTheme="minorEastAsia"/>
          <w:sz w:val="24"/>
          <w:szCs w:val="24"/>
        </w:rPr>
        <w:t>除合同正文约定的与保密有关的权利、权益、义务、责任外，本协议取代双方之前所订立的所有与保密有关的口头或书面的谅解、承诺和协议，构成双方之间有关防止专有信息未经许可的接触、使用和披露的唯一协议。</w:t>
      </w:r>
    </w:p>
    <w:p>
      <w:pPr>
        <w:spacing w:line="360" w:lineRule="auto"/>
        <w:rPr>
          <w:rFonts w:cs="Calibri" w:eastAsiaTheme="minorEastAsia"/>
          <w:sz w:val="24"/>
          <w:szCs w:val="24"/>
        </w:rPr>
      </w:pPr>
    </w:p>
    <w:p>
      <w:pPr>
        <w:spacing w:line="360" w:lineRule="auto"/>
        <w:rPr>
          <w:rFonts w:cs="Calibri" w:eastAsiaTheme="minorEastAsia"/>
          <w:sz w:val="24"/>
          <w:szCs w:val="24"/>
        </w:rPr>
      </w:pPr>
      <w:r>
        <w:rPr>
          <w:rFonts w:hint="eastAsia" w:cs="Calibri" w:eastAsiaTheme="minorEastAsia"/>
          <w:sz w:val="24"/>
          <w:szCs w:val="24"/>
        </w:rPr>
        <w:t>8.2.</w:t>
      </w:r>
      <w:r>
        <w:rPr>
          <w:rFonts w:hint="eastAsia" w:cs="Calibri" w:eastAsiaTheme="minorEastAsia"/>
          <w:sz w:val="24"/>
          <w:szCs w:val="24"/>
        </w:rPr>
        <w:tab/>
      </w:r>
      <w:r>
        <w:rPr>
          <w:rFonts w:hint="eastAsia" w:cs="Calibri" w:eastAsiaTheme="minorEastAsia"/>
          <w:sz w:val="24"/>
          <w:szCs w:val="24"/>
        </w:rPr>
        <w:t>如果本协议的任何条款或任何部分因任何理由被确定为部分或全部地无效或无法执行，本协议其他条款将不受影响，并在法律许可的范围内持续有效。前述无效或无法执行的条款规定将被视为被最能反映双方基于该条款所想表达的意思的有效且可执行的条款所取代。</w:t>
      </w:r>
    </w:p>
    <w:p>
      <w:pPr>
        <w:pStyle w:val="2"/>
        <w:sectPr>
          <w:pgSz w:w="11906" w:h="16838"/>
          <w:pgMar w:top="1247" w:right="1247" w:bottom="1247" w:left="1247" w:header="851" w:footer="850" w:gutter="0"/>
          <w:pgNumType w:fmt="decimal"/>
          <w:cols w:space="720" w:num="1"/>
          <w:docGrid w:linePitch="286" w:charSpace="0"/>
        </w:sectPr>
      </w:pPr>
    </w:p>
    <w:bookmarkEnd w:id="0"/>
    <w:bookmarkEnd w:id="1"/>
    <w:bookmarkEnd w:id="2"/>
    <w:bookmarkEnd w:id="3"/>
    <w:bookmarkEnd w:id="4"/>
    <w:bookmarkEnd w:id="5"/>
    <w:bookmarkEnd w:id="6"/>
    <w:bookmarkEnd w:id="7"/>
    <w:bookmarkEnd w:id="8"/>
    <w:bookmarkEnd w:id="9"/>
    <w:bookmarkEnd w:id="10"/>
    <w:bookmarkEnd w:id="11"/>
    <w:bookmarkEnd w:id="12"/>
    <w:p>
      <w:pPr>
        <w:numPr>
          <w:ilvl w:val="-1"/>
          <w:numId w:val="0"/>
        </w:numPr>
        <w:spacing w:line="360" w:lineRule="auto"/>
        <w:ind w:left="0" w:firstLine="0"/>
        <w:rPr>
          <w:rFonts w:hint="eastAsia" w:cs="Calibri" w:eastAsiaTheme="minorEastAsia"/>
          <w:b/>
          <w:sz w:val="24"/>
          <w:szCs w:val="24"/>
          <w:lang w:val="en-US" w:eastAsia="zh-CN"/>
        </w:rPr>
      </w:pPr>
      <w:r>
        <w:rPr>
          <w:rFonts w:hint="eastAsia" w:cs="Calibri" w:eastAsiaTheme="minorEastAsia"/>
          <w:b/>
          <w:sz w:val="24"/>
          <w:szCs w:val="24"/>
          <w:lang w:eastAsia="zh-CN"/>
        </w:rPr>
        <w:t>附件</w:t>
      </w:r>
      <w:r>
        <w:rPr>
          <w:rFonts w:hint="eastAsia" w:cs="Calibri" w:eastAsiaTheme="minorEastAsia"/>
          <w:b/>
          <w:sz w:val="24"/>
          <w:szCs w:val="24"/>
          <w:lang w:val="en-US" w:eastAsia="zh-CN"/>
        </w:rPr>
        <w:t>6 廉洁协议</w:t>
      </w:r>
    </w:p>
    <w:p>
      <w:pPr>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廉洁协议</w:t>
      </w:r>
    </w:p>
    <w:p>
      <w:pPr>
        <w:snapToGrid w:val="0"/>
        <w:spacing w:line="560" w:lineRule="exact"/>
        <w:jc w:val="center"/>
        <w:rPr>
          <w:rFonts w:ascii="方正小标宋简体" w:eastAsia="方正小标宋简体"/>
          <w:sz w:val="36"/>
          <w:szCs w:val="44"/>
        </w:rPr>
      </w:pPr>
    </w:p>
    <w:p>
      <w:pPr>
        <w:spacing w:line="300" w:lineRule="auto"/>
        <w:rPr>
          <w:rFonts w:ascii="宋体" w:hAnsi="宋体"/>
          <w:color w:val="000000"/>
          <w:sz w:val="24"/>
        </w:rPr>
      </w:pPr>
      <w:r>
        <w:rPr>
          <w:rFonts w:ascii="宋体" w:hAnsi="宋体"/>
          <w:color w:val="000000"/>
          <w:sz w:val="24"/>
        </w:rPr>
        <w:t>项目名称：</w:t>
      </w:r>
      <w:r>
        <w:rPr>
          <w:rFonts w:hint="eastAsia" w:ascii="宋体" w:hAnsi="宋体" w:cs="Calibri"/>
          <w:color w:val="000000"/>
          <w:sz w:val="24"/>
        </w:rPr>
        <w:t>航材国际</w:t>
      </w:r>
      <w:r>
        <w:rPr>
          <w:rFonts w:hint="eastAsia" w:ascii="宋体" w:hAnsi="宋体" w:cs="Calibri"/>
          <w:color w:val="000000"/>
          <w:sz w:val="24"/>
          <w:lang w:eastAsia="zh-CN"/>
        </w:rPr>
        <w:t>快递</w:t>
      </w:r>
      <w:r>
        <w:rPr>
          <w:rFonts w:hint="eastAsia" w:ascii="宋体" w:hAnsi="宋体" w:cs="Calibri"/>
          <w:color w:val="000000"/>
          <w:sz w:val="24"/>
        </w:rPr>
        <w:t>运输服务合同</w:t>
      </w:r>
      <w:r>
        <w:rPr>
          <w:rFonts w:ascii="宋体" w:hAnsi="宋体"/>
          <w:color w:val="000000"/>
          <w:sz w:val="24"/>
        </w:rPr>
        <w:t xml:space="preserve"> </w:t>
      </w:r>
    </w:p>
    <w:p>
      <w:pPr>
        <w:spacing w:line="300" w:lineRule="auto"/>
        <w:rPr>
          <w:rFonts w:ascii="宋体" w:hAnsi="宋体"/>
          <w:color w:val="000000"/>
          <w:sz w:val="24"/>
        </w:rPr>
      </w:pPr>
      <w:r>
        <w:rPr>
          <w:rFonts w:ascii="宋体" w:hAnsi="宋体"/>
          <w:color w:val="000000"/>
          <w:sz w:val="24"/>
        </w:rPr>
        <w:t>甲方：上海飞机客户服务有限公司</w:t>
      </w:r>
    </w:p>
    <w:p>
      <w:pPr>
        <w:spacing w:line="300" w:lineRule="auto"/>
        <w:rPr>
          <w:rFonts w:ascii="宋体" w:hAnsi="宋体"/>
          <w:color w:val="000000"/>
          <w:sz w:val="24"/>
        </w:rPr>
      </w:pPr>
      <w:r>
        <w:rPr>
          <w:rFonts w:ascii="宋体" w:hAnsi="宋体"/>
          <w:color w:val="000000"/>
          <w:sz w:val="24"/>
        </w:rPr>
        <w:t>乙方：</w:t>
      </w:r>
    </w:p>
    <w:p>
      <w:pPr>
        <w:spacing w:line="300" w:lineRule="auto"/>
        <w:rPr>
          <w:rFonts w:ascii="宋体" w:hAnsi="宋体"/>
          <w:color w:val="000000"/>
          <w:sz w:val="24"/>
        </w:rPr>
      </w:pPr>
    </w:p>
    <w:p>
      <w:pPr>
        <w:spacing w:line="300" w:lineRule="auto"/>
        <w:rPr>
          <w:rFonts w:ascii="宋体" w:hAnsi="宋体"/>
          <w:color w:val="000000"/>
          <w:sz w:val="24"/>
        </w:rPr>
      </w:pPr>
      <w:r>
        <w:rPr>
          <w:rFonts w:ascii="宋体" w:hAnsi="宋体"/>
          <w:color w:val="000000"/>
          <w:sz w:val="24"/>
        </w:rPr>
        <w:t>一、签订各方应当自觉、严格遵守国家有关法律法规和廉洁从业的各项规定。坚持“公开、公平、公正”的原则开展业务合作，自觉按照合同办事，不得损害国家、企业以及个人的合法权益。</w:t>
      </w:r>
    </w:p>
    <w:p>
      <w:pPr>
        <w:spacing w:line="300" w:lineRule="auto"/>
        <w:rPr>
          <w:rFonts w:ascii="宋体" w:hAnsi="宋体"/>
          <w:color w:val="000000"/>
          <w:sz w:val="24"/>
        </w:rPr>
      </w:pPr>
    </w:p>
    <w:p>
      <w:pPr>
        <w:spacing w:line="300" w:lineRule="auto"/>
        <w:rPr>
          <w:rFonts w:ascii="宋体" w:hAnsi="宋体"/>
          <w:color w:val="000000"/>
          <w:sz w:val="24"/>
        </w:rPr>
      </w:pPr>
      <w:r>
        <w:rPr>
          <w:rFonts w:ascii="宋体" w:hAnsi="宋体"/>
          <w:color w:val="000000"/>
          <w:sz w:val="24"/>
        </w:rPr>
        <w:t>二、中国商飞公司相关工作人员不得有以下行为：</w:t>
      </w:r>
    </w:p>
    <w:p>
      <w:pPr>
        <w:spacing w:line="300" w:lineRule="auto"/>
        <w:rPr>
          <w:rFonts w:ascii="宋体" w:hAnsi="宋体"/>
          <w:color w:val="000000"/>
          <w:sz w:val="24"/>
        </w:rPr>
      </w:pPr>
      <w:r>
        <w:rPr>
          <w:rFonts w:ascii="宋体" w:hAnsi="宋体"/>
          <w:color w:val="000000"/>
          <w:sz w:val="24"/>
        </w:rPr>
        <w:t>1.以任何形式向合同相对方索要和收受回扣、好处费等。</w:t>
      </w:r>
    </w:p>
    <w:p>
      <w:pPr>
        <w:spacing w:line="300" w:lineRule="auto"/>
        <w:rPr>
          <w:rFonts w:ascii="宋体" w:hAnsi="宋体"/>
          <w:color w:val="000000"/>
          <w:sz w:val="24"/>
        </w:rPr>
      </w:pPr>
      <w:r>
        <w:rPr>
          <w:rFonts w:ascii="宋体" w:hAnsi="宋体"/>
          <w:color w:val="000000"/>
          <w:sz w:val="24"/>
        </w:rPr>
        <w:t>2.接受合同相对方的礼品、礼金、有价证券等，在合同相对方报销任何应由个人支付的费用。</w:t>
      </w:r>
    </w:p>
    <w:p>
      <w:pPr>
        <w:spacing w:line="300" w:lineRule="auto"/>
        <w:rPr>
          <w:rFonts w:ascii="宋体" w:hAnsi="宋体"/>
          <w:color w:val="000000"/>
          <w:sz w:val="24"/>
        </w:rPr>
      </w:pPr>
      <w:r>
        <w:rPr>
          <w:rFonts w:ascii="宋体" w:hAnsi="宋体"/>
          <w:color w:val="000000"/>
          <w:sz w:val="24"/>
        </w:rPr>
        <w:t>3.参加由合同相对方组织安排的高档宴请、娱乐、休闲、健身、保健等活动。</w:t>
      </w:r>
    </w:p>
    <w:p>
      <w:pPr>
        <w:spacing w:line="300" w:lineRule="auto"/>
        <w:rPr>
          <w:rFonts w:ascii="宋体" w:hAnsi="宋体"/>
          <w:color w:val="000000"/>
          <w:sz w:val="24"/>
        </w:rPr>
      </w:pPr>
      <w:r>
        <w:rPr>
          <w:rFonts w:ascii="宋体" w:hAnsi="宋体"/>
          <w:color w:val="000000"/>
          <w:sz w:val="24"/>
        </w:rPr>
        <w:t>4.要求或者接受合同相对方为其住房装修、婚丧嫁娶、家属和子女的工作安排以及出国等提供方便。</w:t>
      </w:r>
    </w:p>
    <w:p>
      <w:pPr>
        <w:spacing w:line="300" w:lineRule="auto"/>
        <w:rPr>
          <w:rFonts w:ascii="宋体" w:hAnsi="宋体"/>
          <w:color w:val="000000"/>
          <w:sz w:val="24"/>
        </w:rPr>
      </w:pPr>
      <w:r>
        <w:rPr>
          <w:rFonts w:ascii="宋体" w:hAnsi="宋体"/>
          <w:color w:val="000000"/>
          <w:sz w:val="24"/>
        </w:rPr>
        <w:t>5.向合同相对方介绍家属或者亲友从事与公司项目有关的材料及货物供应、工程分包及购买服务等经济活动。</w:t>
      </w:r>
    </w:p>
    <w:p>
      <w:pPr>
        <w:spacing w:line="300" w:lineRule="auto"/>
        <w:rPr>
          <w:rFonts w:ascii="宋体" w:hAnsi="宋体"/>
          <w:color w:val="000000"/>
          <w:sz w:val="24"/>
        </w:rPr>
      </w:pPr>
    </w:p>
    <w:p>
      <w:pPr>
        <w:spacing w:line="300" w:lineRule="auto"/>
        <w:rPr>
          <w:rFonts w:ascii="宋体" w:hAnsi="宋体"/>
          <w:color w:val="000000"/>
          <w:sz w:val="24"/>
        </w:rPr>
      </w:pPr>
      <w:r>
        <w:rPr>
          <w:rFonts w:ascii="宋体" w:hAnsi="宋体"/>
          <w:color w:val="000000"/>
          <w:sz w:val="24"/>
        </w:rPr>
        <w:t>三、合同相对方承诺与中国商飞公司领导干部不存在利益关联，且不将业务转包、分包给与中国商飞公司领导干部存在利益关联的单位和个人。同时，合同相对方及其工作人员应自觉履行以下行为：</w:t>
      </w:r>
    </w:p>
    <w:p>
      <w:pPr>
        <w:spacing w:line="300" w:lineRule="auto"/>
        <w:rPr>
          <w:rFonts w:ascii="宋体" w:hAnsi="宋体"/>
          <w:color w:val="000000"/>
          <w:sz w:val="24"/>
        </w:rPr>
      </w:pPr>
      <w:r>
        <w:rPr>
          <w:rFonts w:ascii="宋体" w:hAnsi="宋体"/>
          <w:color w:val="000000"/>
          <w:sz w:val="24"/>
        </w:rPr>
        <w:t>1.应当通过正常途径开展业务工作，不得向中国商飞公司相关工作人员赠送礼品、礼金、有价证券等。</w:t>
      </w:r>
    </w:p>
    <w:p>
      <w:pPr>
        <w:spacing w:line="300" w:lineRule="auto"/>
        <w:rPr>
          <w:rFonts w:ascii="宋体" w:hAnsi="宋体"/>
          <w:color w:val="000000"/>
          <w:sz w:val="24"/>
        </w:rPr>
      </w:pPr>
      <w:r>
        <w:rPr>
          <w:rFonts w:ascii="宋体" w:hAnsi="宋体"/>
          <w:color w:val="000000"/>
          <w:sz w:val="24"/>
        </w:rPr>
        <w:t>2.除合同中已确定的培训、考察外，不得邀请中国商飞公司相关工作人员外出旅游和进入高档的经营场所活动、消费。</w:t>
      </w:r>
    </w:p>
    <w:p>
      <w:pPr>
        <w:spacing w:line="300" w:lineRule="auto"/>
        <w:rPr>
          <w:rFonts w:ascii="宋体" w:hAnsi="宋体"/>
          <w:color w:val="000000"/>
          <w:sz w:val="24"/>
        </w:rPr>
      </w:pPr>
      <w:r>
        <w:rPr>
          <w:rFonts w:ascii="宋体" w:hAnsi="宋体"/>
          <w:color w:val="000000"/>
          <w:sz w:val="24"/>
        </w:rPr>
        <w:t>3.不得为中国商飞公司相关人员购置或提供交通工具、家电、办公用品等。</w:t>
      </w:r>
    </w:p>
    <w:p>
      <w:pPr>
        <w:spacing w:line="300" w:lineRule="auto"/>
        <w:rPr>
          <w:rFonts w:ascii="宋体" w:hAnsi="宋体"/>
          <w:color w:val="000000"/>
          <w:sz w:val="24"/>
        </w:rPr>
      </w:pPr>
    </w:p>
    <w:p>
      <w:pPr>
        <w:spacing w:line="300" w:lineRule="auto"/>
        <w:rPr>
          <w:rFonts w:ascii="宋体" w:hAnsi="宋体"/>
          <w:color w:val="000000"/>
          <w:sz w:val="24"/>
        </w:rPr>
      </w:pPr>
      <w:r>
        <w:rPr>
          <w:rFonts w:ascii="宋体" w:hAnsi="宋体"/>
          <w:color w:val="000000"/>
          <w:sz w:val="24"/>
        </w:rPr>
        <w:t>四、中国商飞公司相关工作人员有经查实违反本协议规定的行为，由所在单位纪检监察部门依据有关规定给予处理，情节严重构成犯罪的，移交司法机关处理。</w:t>
      </w:r>
    </w:p>
    <w:p>
      <w:pPr>
        <w:spacing w:line="300" w:lineRule="auto"/>
        <w:rPr>
          <w:rFonts w:ascii="宋体" w:hAnsi="宋体"/>
          <w:color w:val="000000"/>
          <w:sz w:val="24"/>
        </w:rPr>
      </w:pPr>
    </w:p>
    <w:p>
      <w:pPr>
        <w:spacing w:line="300" w:lineRule="auto"/>
        <w:rPr>
          <w:rFonts w:ascii="宋体" w:hAnsi="宋体"/>
          <w:color w:val="000000"/>
          <w:sz w:val="24"/>
        </w:rPr>
      </w:pPr>
      <w:r>
        <w:rPr>
          <w:rFonts w:ascii="宋体" w:hAnsi="宋体"/>
          <w:color w:val="000000"/>
          <w:sz w:val="24"/>
        </w:rPr>
        <w:t>五、合同相对方及其工作人员有经查实违反本协议规定的行为，给中国商飞公司造成的损失由合同相对方承担，用不正当手段获取的不正当利益由中国商飞公司依法予以追缴。中国商飞公司视情节和后果，可追究合同价1～5%的廉洁从业违约金，并可单方面终止合同，且合同相对方在三年内不得参加中国商飞公司有关项目的合作。</w:t>
      </w:r>
    </w:p>
    <w:p>
      <w:pPr>
        <w:spacing w:line="300" w:lineRule="auto"/>
        <w:rPr>
          <w:rFonts w:ascii="宋体" w:hAnsi="宋体"/>
          <w:color w:val="000000"/>
          <w:sz w:val="24"/>
        </w:rPr>
      </w:pPr>
    </w:p>
    <w:p>
      <w:pPr>
        <w:spacing w:line="300" w:lineRule="auto"/>
        <w:rPr>
          <w:rFonts w:ascii="宋体" w:hAnsi="宋体"/>
          <w:color w:val="000000"/>
          <w:sz w:val="24"/>
        </w:rPr>
      </w:pPr>
      <w:r>
        <w:rPr>
          <w:rFonts w:ascii="宋体" w:hAnsi="宋体"/>
          <w:color w:val="000000"/>
          <w:sz w:val="24"/>
        </w:rPr>
        <w:t>六、签订各方若存在违反本协议规定之外且与合同有关的其他不廉洁行为，参照本协议规定的违约责任处理。</w:t>
      </w:r>
    </w:p>
    <w:p>
      <w:pPr>
        <w:spacing w:line="300" w:lineRule="auto"/>
        <w:rPr>
          <w:rFonts w:ascii="宋体" w:hAnsi="宋体"/>
          <w:color w:val="000000"/>
          <w:sz w:val="24"/>
        </w:rPr>
      </w:pPr>
    </w:p>
    <w:p>
      <w:pPr>
        <w:spacing w:line="300" w:lineRule="auto"/>
        <w:rPr>
          <w:rFonts w:ascii="宋体" w:hAnsi="宋体"/>
          <w:color w:val="000000"/>
          <w:sz w:val="24"/>
        </w:rPr>
      </w:pPr>
      <w:r>
        <w:rPr>
          <w:rFonts w:ascii="宋体" w:hAnsi="宋体"/>
          <w:color w:val="000000"/>
          <w:sz w:val="24"/>
        </w:rPr>
        <w:t>七、本协议作为</w:t>
      </w:r>
      <w:r>
        <w:rPr>
          <w:rFonts w:hint="eastAsia" w:ascii="宋体" w:hAnsi="宋体" w:cs="Calibri"/>
          <w:color w:val="000000"/>
          <w:sz w:val="24"/>
        </w:rPr>
        <w:t>航材国际</w:t>
      </w:r>
      <w:r>
        <w:rPr>
          <w:rFonts w:hint="eastAsia" w:ascii="宋体" w:hAnsi="宋体" w:cs="Calibri"/>
          <w:color w:val="000000"/>
          <w:sz w:val="24"/>
          <w:lang w:eastAsia="zh-CN"/>
        </w:rPr>
        <w:t>快递</w:t>
      </w:r>
      <w:r>
        <w:rPr>
          <w:rFonts w:hint="eastAsia" w:ascii="宋体" w:hAnsi="宋体" w:cs="Calibri"/>
          <w:color w:val="000000"/>
          <w:sz w:val="24"/>
        </w:rPr>
        <w:t>运输服务</w:t>
      </w:r>
      <w:r>
        <w:rPr>
          <w:rFonts w:ascii="宋体" w:hAnsi="宋体"/>
          <w:color w:val="000000"/>
          <w:sz w:val="24"/>
        </w:rPr>
        <w:t>合同的一部分，具有与其同等的法律效力。</w:t>
      </w:r>
    </w:p>
    <w:p>
      <w:pPr>
        <w:widowControl/>
        <w:jc w:val="left"/>
        <w:rPr>
          <w:rFonts w:ascii="宋体" w:hAnsi="宋体"/>
          <w:color w:val="000000"/>
          <w:sz w:val="24"/>
        </w:rPr>
      </w:pPr>
      <w:r>
        <w:rPr>
          <w:rFonts w:ascii="宋体" w:hAnsi="宋体"/>
          <w:color w:val="000000"/>
          <w:sz w:val="24"/>
        </w:rPr>
        <w:br w:type="page"/>
      </w:r>
    </w:p>
    <w:p>
      <w:pPr>
        <w:pStyle w:val="2"/>
        <w:rPr>
          <w:rFonts w:hint="eastAsia"/>
          <w:lang w:val="en-US" w:eastAsia="zh-CN"/>
        </w:rPr>
      </w:pPr>
    </w:p>
    <w:p>
      <w:pPr>
        <w:spacing w:line="400" w:lineRule="exact"/>
        <w:jc w:val="both"/>
        <w:rPr>
          <w:rFonts w:eastAsia="仿宋" w:cs="Calibri"/>
          <w:sz w:val="28"/>
          <w:szCs w:val="28"/>
        </w:rPr>
      </w:pPr>
    </w:p>
    <w:sectPr>
      <w:pgSz w:w="11906" w:h="16838"/>
      <w:pgMar w:top="1247" w:right="1247" w:bottom="1247" w:left="1247" w:header="851" w:footer="85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FZKai-Z03">
    <w:altName w:val="宋体"/>
    <w:panose1 w:val="00000000000000000000"/>
    <w:charset w:val="86"/>
    <w:family w:val="script"/>
    <w:pitch w:val="default"/>
    <w:sig w:usb0="00000000" w:usb1="00000000" w:usb2="00000010" w:usb3="00000000" w:csb0="00040000" w:csb1="00000000"/>
  </w:font>
  <w:font w:name="ヒラギノ角ゴ Pro W3">
    <w:altName w:val="MS Gothic"/>
    <w:panose1 w:val="00000000000000000000"/>
    <w:charset w:val="80"/>
    <w:family w:val="auto"/>
    <w:pitch w:val="default"/>
    <w:sig w:usb0="00000000" w:usb1="00000000" w:usb2="01000407" w:usb3="00000000" w:csb0="00020000" w:csb1="00000000"/>
  </w:font>
  <w:font w:name="官帕">
    <w:altName w:val="Calibri"/>
    <w:panose1 w:val="00000000000000000000"/>
    <w:charset w:val="00"/>
    <w:family w:val="auto"/>
    <w:pitch w:val="default"/>
    <w:sig w:usb0="00000000" w:usb1="00000000" w:usb2="00000000" w:usb3="00000000" w:csb0="0000009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0463547"/>
    </w:sdtPr>
    <w:sdtContent>
      <w:p>
        <w:pPr>
          <w:pStyle w:val="30"/>
          <w:jc w:val="center"/>
        </w:pPr>
        <w:r>
          <w:fldChar w:fldCharType="begin"/>
        </w:r>
        <w:r>
          <w:instrText xml:space="preserve">PAGE   \* MERGEFORMAT</w:instrText>
        </w:r>
        <w:r>
          <w:fldChar w:fldCharType="separate"/>
        </w:r>
        <w:r>
          <w:rPr>
            <w:lang w:val="zh-CN"/>
          </w:rPr>
          <w:t>76</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jc w:val="both"/>
      <w:rPr>
        <w:rFonts w:asciiTheme="minorEastAsia" w:hAnsiTheme="minorEastAsia" w:eastAsiaTheme="minorEastAsia"/>
        <w:sz w:val="21"/>
        <w:szCs w:val="21"/>
      </w:rPr>
    </w:pPr>
  </w:p>
  <w:p>
    <w:pPr>
      <w:pStyle w:val="32"/>
      <w:pBdr>
        <w:bottom w:val="none" w:color="auto" w:sz="0" w:space="1"/>
      </w:pBdr>
      <w:jc w:val="right"/>
      <w:rPr>
        <w:rFonts w:ascii="Arial" w:hAnsi="Arial" w:cs="Arial" w:eastAsia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BAFFE4"/>
    <w:multiLevelType w:val="singleLevel"/>
    <w:tmpl w:val="E4BAFFE4"/>
    <w:lvl w:ilvl="0" w:tentative="0">
      <w:start w:val="4"/>
      <w:numFmt w:val="decimal"/>
      <w:suff w:val="space"/>
      <w:lvlText w:val="%1、"/>
      <w:lvlJc w:val="left"/>
    </w:lvl>
  </w:abstractNum>
  <w:abstractNum w:abstractNumId="1">
    <w:nsid w:val="0C385F3E"/>
    <w:multiLevelType w:val="multilevel"/>
    <w:tmpl w:val="0C385F3E"/>
    <w:lvl w:ilvl="0" w:tentative="0">
      <w:start w:val="1"/>
      <w:numFmt w:val="chineseCountingThousand"/>
      <w:pStyle w:val="106"/>
      <w:lvlText w:val="第%1章"/>
      <w:lvlJc w:val="left"/>
      <w:pPr>
        <w:ind w:left="425" w:hanging="425"/>
      </w:pPr>
      <w:rPr>
        <w:rFonts w:hint="eastAsia"/>
      </w:rPr>
    </w:lvl>
    <w:lvl w:ilvl="1" w:tentative="0">
      <w:start w:val="1"/>
      <w:numFmt w:val="decimal"/>
      <w:lvlText w:val="%2."/>
      <w:lvlJc w:val="left"/>
      <w:pPr>
        <w:ind w:left="992" w:hanging="567"/>
      </w:pPr>
      <w:rPr>
        <w:rFonts w:hint="eastAsia"/>
      </w:rPr>
    </w:lvl>
    <w:lvl w:ilvl="2" w:tentative="0">
      <w:start w:val="1"/>
      <w:numFmt w:val="decimal"/>
      <w:lvlText w:val="%2.%3"/>
      <w:lvlJc w:val="left"/>
      <w:pPr>
        <w:ind w:left="1418" w:hanging="567"/>
      </w:pPr>
      <w:rPr>
        <w:rFonts w:hint="default" w:ascii="Calibri" w:hAnsi="Calibri" w:eastAsia="仿宋" w:cs="Calibri"/>
      </w:rPr>
    </w:lvl>
    <w:lvl w:ilvl="3" w:tentative="0">
      <w:start w:val="1"/>
      <w:numFmt w:val="decimal"/>
      <w:lvlText w:val="%2.%3.%4"/>
      <w:lvlJc w:val="left"/>
      <w:pPr>
        <w:ind w:left="1984" w:hanging="708"/>
      </w:pPr>
      <w:rPr>
        <w:rFonts w:hint="eastAsia"/>
      </w:rPr>
    </w:lvl>
    <w:lvl w:ilvl="4" w:tentative="0">
      <w:start w:val="1"/>
      <w:numFmt w:val="decimal"/>
      <w:lvlText w:val="（%5）"/>
      <w:lvlJc w:val="left"/>
      <w:pPr>
        <w:ind w:left="2551" w:hanging="850"/>
      </w:pPr>
      <w:rPr>
        <w:rFonts w:hint="eastAsia"/>
        <w:lang w:val="en-US"/>
      </w:rPr>
    </w:lvl>
    <w:lvl w:ilvl="5" w:tentative="0">
      <w:start w:val="1"/>
      <w:numFmt w:val="decimal"/>
      <w:lvlText w:val="%2.%3.%4.%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4F22260"/>
    <w:multiLevelType w:val="multilevel"/>
    <w:tmpl w:val="54F22260"/>
    <w:lvl w:ilvl="0" w:tentative="0">
      <w:start w:val="1"/>
      <w:numFmt w:val="decimal"/>
      <w:lvlText w:val="%1"/>
      <w:lvlJc w:val="left"/>
      <w:pPr>
        <w:tabs>
          <w:tab w:val="left" w:pos="350"/>
        </w:tabs>
        <w:ind w:left="0" w:firstLine="0"/>
      </w:pPr>
      <w:rPr>
        <w:rFonts w:hint="eastAsia" w:ascii="黑体" w:eastAsia="黑体"/>
        <w:b/>
        <w:sz w:val="24"/>
        <w:szCs w:val="24"/>
      </w:rPr>
    </w:lvl>
    <w:lvl w:ilvl="1" w:tentative="0">
      <w:start w:val="1"/>
      <w:numFmt w:val="decimal"/>
      <w:pStyle w:val="178"/>
      <w:lvlText w:val="%1.%2"/>
      <w:lvlJc w:val="left"/>
      <w:pPr>
        <w:tabs>
          <w:tab w:val="left" w:pos="550"/>
        </w:tabs>
        <w:ind w:left="0" w:firstLine="0"/>
      </w:pPr>
      <w:rPr>
        <w:rFonts w:hint="eastAsia"/>
      </w:rPr>
    </w:lvl>
    <w:lvl w:ilvl="2" w:tentative="0">
      <w:start w:val="1"/>
      <w:numFmt w:val="decimal"/>
      <w:lvlText w:val="%1.%2.%3"/>
      <w:lvlJc w:val="left"/>
      <w:pPr>
        <w:tabs>
          <w:tab w:val="left" w:pos="700"/>
        </w:tabs>
        <w:ind w:left="0" w:firstLine="0"/>
      </w:pPr>
      <w:rPr>
        <w:rFonts w:hint="default" w:ascii="Times New Roman" w:hAnsi="Times New Roman" w:eastAsia="宋体"/>
        <w:sz w:val="24"/>
        <w:szCs w:val="24"/>
      </w:rPr>
    </w:lvl>
    <w:lvl w:ilvl="3" w:tentative="0">
      <w:start w:val="1"/>
      <w:numFmt w:val="decimal"/>
      <w:lvlText w:val="%1.%2.%3.%4"/>
      <w:lvlJc w:val="left"/>
      <w:pPr>
        <w:tabs>
          <w:tab w:val="left" w:pos="900"/>
        </w:tabs>
        <w:ind w:left="0" w:firstLine="0"/>
      </w:pPr>
      <w:rPr>
        <w:rFonts w:hint="default" w:ascii="Times New Roman" w:hAnsi="Times New Roman" w:eastAsia="宋体"/>
        <w:sz w:val="24"/>
        <w:szCs w:val="24"/>
      </w:rPr>
    </w:lvl>
    <w:lvl w:ilvl="4" w:tentative="0">
      <w:start w:val="1"/>
      <w:numFmt w:val="decimal"/>
      <w:lvlText w:val="%1.%2.%3.%4.%5"/>
      <w:lvlJc w:val="left"/>
      <w:pPr>
        <w:tabs>
          <w:tab w:val="left" w:pos="1050"/>
        </w:tabs>
        <w:ind w:left="0" w:firstLine="0"/>
      </w:pPr>
      <w:rPr>
        <w:rFonts w:hint="default" w:ascii="Times New Roman" w:hAnsi="Times New Roman" w:eastAsia="宋体"/>
        <w:sz w:val="24"/>
        <w:szCs w:val="24"/>
      </w:rPr>
    </w:lvl>
    <w:lvl w:ilvl="5" w:tentative="0">
      <w:start w:val="1"/>
      <w:numFmt w:val="decimal"/>
      <w:lvlText w:val="%1.%2.%3.%4.%5.%6"/>
      <w:lvlJc w:val="left"/>
      <w:pPr>
        <w:tabs>
          <w:tab w:val="left" w:pos="1250"/>
        </w:tabs>
        <w:ind w:left="0" w:firstLine="0"/>
      </w:pPr>
      <w:rPr>
        <w:rFonts w:hint="default" w:ascii="Times New Roman" w:hAnsi="Times New Roman" w:eastAsia="宋体"/>
        <w:sz w:val="24"/>
        <w:szCs w:val="24"/>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60"/>
    <w:rsid w:val="00004603"/>
    <w:rsid w:val="00005119"/>
    <w:rsid w:val="00007319"/>
    <w:rsid w:val="000106AE"/>
    <w:rsid w:val="000109BA"/>
    <w:rsid w:val="000113EC"/>
    <w:rsid w:val="00012703"/>
    <w:rsid w:val="0001485E"/>
    <w:rsid w:val="00020140"/>
    <w:rsid w:val="00020F53"/>
    <w:rsid w:val="00021BFE"/>
    <w:rsid w:val="00023654"/>
    <w:rsid w:val="000250D6"/>
    <w:rsid w:val="00025ACC"/>
    <w:rsid w:val="00026171"/>
    <w:rsid w:val="00026576"/>
    <w:rsid w:val="00026AA0"/>
    <w:rsid w:val="00030736"/>
    <w:rsid w:val="000316BD"/>
    <w:rsid w:val="00032762"/>
    <w:rsid w:val="00032E9F"/>
    <w:rsid w:val="000351AE"/>
    <w:rsid w:val="00043778"/>
    <w:rsid w:val="00043C27"/>
    <w:rsid w:val="00045007"/>
    <w:rsid w:val="0004684B"/>
    <w:rsid w:val="00056627"/>
    <w:rsid w:val="00062AC6"/>
    <w:rsid w:val="00065A9E"/>
    <w:rsid w:val="0006669A"/>
    <w:rsid w:val="000668F1"/>
    <w:rsid w:val="00067035"/>
    <w:rsid w:val="00067089"/>
    <w:rsid w:val="000672A4"/>
    <w:rsid w:val="0007175A"/>
    <w:rsid w:val="00072550"/>
    <w:rsid w:val="0007298C"/>
    <w:rsid w:val="00073063"/>
    <w:rsid w:val="00075DC3"/>
    <w:rsid w:val="0008132B"/>
    <w:rsid w:val="00081360"/>
    <w:rsid w:val="00081CCC"/>
    <w:rsid w:val="0008253E"/>
    <w:rsid w:val="00087558"/>
    <w:rsid w:val="00087D1F"/>
    <w:rsid w:val="00090BB8"/>
    <w:rsid w:val="000916E2"/>
    <w:rsid w:val="0009240C"/>
    <w:rsid w:val="00092A17"/>
    <w:rsid w:val="000937C7"/>
    <w:rsid w:val="000943B0"/>
    <w:rsid w:val="00094C66"/>
    <w:rsid w:val="000A118B"/>
    <w:rsid w:val="000A1D0D"/>
    <w:rsid w:val="000A287B"/>
    <w:rsid w:val="000A5656"/>
    <w:rsid w:val="000A5C81"/>
    <w:rsid w:val="000A76B3"/>
    <w:rsid w:val="000B248A"/>
    <w:rsid w:val="000B5CEC"/>
    <w:rsid w:val="000B6056"/>
    <w:rsid w:val="000B65E2"/>
    <w:rsid w:val="000B676B"/>
    <w:rsid w:val="000C0018"/>
    <w:rsid w:val="000C0AF1"/>
    <w:rsid w:val="000C16D8"/>
    <w:rsid w:val="000C1A9B"/>
    <w:rsid w:val="000C2AB5"/>
    <w:rsid w:val="000C3758"/>
    <w:rsid w:val="000C4710"/>
    <w:rsid w:val="000C7D60"/>
    <w:rsid w:val="000D204D"/>
    <w:rsid w:val="000D2A2E"/>
    <w:rsid w:val="000D3415"/>
    <w:rsid w:val="000D4336"/>
    <w:rsid w:val="000D49B4"/>
    <w:rsid w:val="000D5403"/>
    <w:rsid w:val="000D6BDD"/>
    <w:rsid w:val="000E08CB"/>
    <w:rsid w:val="000E5673"/>
    <w:rsid w:val="000E7256"/>
    <w:rsid w:val="000F2186"/>
    <w:rsid w:val="000F2A12"/>
    <w:rsid w:val="000F2ECC"/>
    <w:rsid w:val="000F3A64"/>
    <w:rsid w:val="000F44D2"/>
    <w:rsid w:val="001011FC"/>
    <w:rsid w:val="00102269"/>
    <w:rsid w:val="00102618"/>
    <w:rsid w:val="00102F0B"/>
    <w:rsid w:val="00105423"/>
    <w:rsid w:val="001119B6"/>
    <w:rsid w:val="001144D0"/>
    <w:rsid w:val="00115124"/>
    <w:rsid w:val="001166B4"/>
    <w:rsid w:val="00117F0F"/>
    <w:rsid w:val="0012158A"/>
    <w:rsid w:val="001229F6"/>
    <w:rsid w:val="0012604D"/>
    <w:rsid w:val="0012660F"/>
    <w:rsid w:val="001270CD"/>
    <w:rsid w:val="00127167"/>
    <w:rsid w:val="00131AF4"/>
    <w:rsid w:val="00133319"/>
    <w:rsid w:val="0014098E"/>
    <w:rsid w:val="00143773"/>
    <w:rsid w:val="00146F25"/>
    <w:rsid w:val="00147886"/>
    <w:rsid w:val="0015103D"/>
    <w:rsid w:val="001530C6"/>
    <w:rsid w:val="00155E53"/>
    <w:rsid w:val="0015633C"/>
    <w:rsid w:val="0016772A"/>
    <w:rsid w:val="00170389"/>
    <w:rsid w:val="0017144D"/>
    <w:rsid w:val="00172A27"/>
    <w:rsid w:val="001735B4"/>
    <w:rsid w:val="001738D3"/>
    <w:rsid w:val="001748A3"/>
    <w:rsid w:val="001761D0"/>
    <w:rsid w:val="0017652B"/>
    <w:rsid w:val="00182267"/>
    <w:rsid w:val="00182B07"/>
    <w:rsid w:val="00182B11"/>
    <w:rsid w:val="00183748"/>
    <w:rsid w:val="00183B4A"/>
    <w:rsid w:val="0018457D"/>
    <w:rsid w:val="00186361"/>
    <w:rsid w:val="001863C9"/>
    <w:rsid w:val="00193568"/>
    <w:rsid w:val="00193C1D"/>
    <w:rsid w:val="001971AB"/>
    <w:rsid w:val="001A093D"/>
    <w:rsid w:val="001A0CCF"/>
    <w:rsid w:val="001A10F9"/>
    <w:rsid w:val="001A2E05"/>
    <w:rsid w:val="001A304A"/>
    <w:rsid w:val="001A3F2C"/>
    <w:rsid w:val="001A4491"/>
    <w:rsid w:val="001A4684"/>
    <w:rsid w:val="001A4886"/>
    <w:rsid w:val="001B1289"/>
    <w:rsid w:val="001B5478"/>
    <w:rsid w:val="001B6704"/>
    <w:rsid w:val="001B7FEF"/>
    <w:rsid w:val="001C30C7"/>
    <w:rsid w:val="001C3813"/>
    <w:rsid w:val="001C7298"/>
    <w:rsid w:val="001C7EE2"/>
    <w:rsid w:val="001D4A73"/>
    <w:rsid w:val="001E1433"/>
    <w:rsid w:val="001E3F63"/>
    <w:rsid w:val="001F1E28"/>
    <w:rsid w:val="001F2208"/>
    <w:rsid w:val="001F2615"/>
    <w:rsid w:val="001F285E"/>
    <w:rsid w:val="001F4134"/>
    <w:rsid w:val="001F45EE"/>
    <w:rsid w:val="001F4850"/>
    <w:rsid w:val="002048D1"/>
    <w:rsid w:val="00204A5C"/>
    <w:rsid w:val="002058F5"/>
    <w:rsid w:val="00207A0B"/>
    <w:rsid w:val="0021226E"/>
    <w:rsid w:val="00212A53"/>
    <w:rsid w:val="0021322F"/>
    <w:rsid w:val="00213B90"/>
    <w:rsid w:val="00215AF0"/>
    <w:rsid w:val="00221FAC"/>
    <w:rsid w:val="002229E2"/>
    <w:rsid w:val="0022434B"/>
    <w:rsid w:val="00226854"/>
    <w:rsid w:val="00227B73"/>
    <w:rsid w:val="00230836"/>
    <w:rsid w:val="0023345C"/>
    <w:rsid w:val="0023423F"/>
    <w:rsid w:val="00234813"/>
    <w:rsid w:val="002359EC"/>
    <w:rsid w:val="00237B0E"/>
    <w:rsid w:val="002411F6"/>
    <w:rsid w:val="00241749"/>
    <w:rsid w:val="002430C2"/>
    <w:rsid w:val="00243505"/>
    <w:rsid w:val="00245800"/>
    <w:rsid w:val="00247499"/>
    <w:rsid w:val="00250CB7"/>
    <w:rsid w:val="00250D8D"/>
    <w:rsid w:val="00251A49"/>
    <w:rsid w:val="002521B3"/>
    <w:rsid w:val="0025316D"/>
    <w:rsid w:val="0025460A"/>
    <w:rsid w:val="00255C3C"/>
    <w:rsid w:val="00255D0D"/>
    <w:rsid w:val="00260C77"/>
    <w:rsid w:val="00261248"/>
    <w:rsid w:val="00261352"/>
    <w:rsid w:val="00261E02"/>
    <w:rsid w:val="00263F0B"/>
    <w:rsid w:val="00264EB1"/>
    <w:rsid w:val="002673D2"/>
    <w:rsid w:val="00270A97"/>
    <w:rsid w:val="00271F30"/>
    <w:rsid w:val="0027292C"/>
    <w:rsid w:val="00275116"/>
    <w:rsid w:val="00276B13"/>
    <w:rsid w:val="00276C71"/>
    <w:rsid w:val="00281526"/>
    <w:rsid w:val="002825D1"/>
    <w:rsid w:val="0028346F"/>
    <w:rsid w:val="00285406"/>
    <w:rsid w:val="00290C27"/>
    <w:rsid w:val="00291579"/>
    <w:rsid w:val="002918F2"/>
    <w:rsid w:val="002932F7"/>
    <w:rsid w:val="0029644E"/>
    <w:rsid w:val="0029702E"/>
    <w:rsid w:val="002A33DD"/>
    <w:rsid w:val="002A3449"/>
    <w:rsid w:val="002A4926"/>
    <w:rsid w:val="002A552C"/>
    <w:rsid w:val="002A65ED"/>
    <w:rsid w:val="002A6F66"/>
    <w:rsid w:val="002A72A1"/>
    <w:rsid w:val="002B05CA"/>
    <w:rsid w:val="002B2AFE"/>
    <w:rsid w:val="002B6D33"/>
    <w:rsid w:val="002C065C"/>
    <w:rsid w:val="002C0721"/>
    <w:rsid w:val="002C0C29"/>
    <w:rsid w:val="002C31DD"/>
    <w:rsid w:val="002C3CD8"/>
    <w:rsid w:val="002C6896"/>
    <w:rsid w:val="002C7B9B"/>
    <w:rsid w:val="002D0169"/>
    <w:rsid w:val="002D2B90"/>
    <w:rsid w:val="002D6292"/>
    <w:rsid w:val="002D6F32"/>
    <w:rsid w:val="002D7B78"/>
    <w:rsid w:val="002E1898"/>
    <w:rsid w:val="002E1DAC"/>
    <w:rsid w:val="002E6D05"/>
    <w:rsid w:val="002F2A3B"/>
    <w:rsid w:val="002F55B1"/>
    <w:rsid w:val="002F72A0"/>
    <w:rsid w:val="00301EBE"/>
    <w:rsid w:val="00311324"/>
    <w:rsid w:val="00311BD5"/>
    <w:rsid w:val="003122C4"/>
    <w:rsid w:val="00312B88"/>
    <w:rsid w:val="0031335C"/>
    <w:rsid w:val="00314419"/>
    <w:rsid w:val="00314AF6"/>
    <w:rsid w:val="00316B86"/>
    <w:rsid w:val="0032031D"/>
    <w:rsid w:val="003214BA"/>
    <w:rsid w:val="00321647"/>
    <w:rsid w:val="00321989"/>
    <w:rsid w:val="003243EC"/>
    <w:rsid w:val="003247CD"/>
    <w:rsid w:val="00324E99"/>
    <w:rsid w:val="00330D54"/>
    <w:rsid w:val="003341B4"/>
    <w:rsid w:val="00334B13"/>
    <w:rsid w:val="003362AD"/>
    <w:rsid w:val="0034004D"/>
    <w:rsid w:val="00340BCC"/>
    <w:rsid w:val="00342688"/>
    <w:rsid w:val="0034440E"/>
    <w:rsid w:val="00347899"/>
    <w:rsid w:val="00347D0C"/>
    <w:rsid w:val="00350F3E"/>
    <w:rsid w:val="0035125A"/>
    <w:rsid w:val="003518D6"/>
    <w:rsid w:val="00354B7A"/>
    <w:rsid w:val="00354B90"/>
    <w:rsid w:val="00356F9E"/>
    <w:rsid w:val="0036014B"/>
    <w:rsid w:val="0036335E"/>
    <w:rsid w:val="00363966"/>
    <w:rsid w:val="00363D55"/>
    <w:rsid w:val="00367735"/>
    <w:rsid w:val="00372710"/>
    <w:rsid w:val="003734AA"/>
    <w:rsid w:val="003741B0"/>
    <w:rsid w:val="00375481"/>
    <w:rsid w:val="003812C0"/>
    <w:rsid w:val="0038240C"/>
    <w:rsid w:val="0038359A"/>
    <w:rsid w:val="00383DE0"/>
    <w:rsid w:val="00386AA0"/>
    <w:rsid w:val="00387996"/>
    <w:rsid w:val="00391F03"/>
    <w:rsid w:val="003937D8"/>
    <w:rsid w:val="0039407B"/>
    <w:rsid w:val="00395D5B"/>
    <w:rsid w:val="00397AE5"/>
    <w:rsid w:val="003A2368"/>
    <w:rsid w:val="003A2BEA"/>
    <w:rsid w:val="003A2F4B"/>
    <w:rsid w:val="003A4C07"/>
    <w:rsid w:val="003A593E"/>
    <w:rsid w:val="003A6775"/>
    <w:rsid w:val="003B0108"/>
    <w:rsid w:val="003B1B15"/>
    <w:rsid w:val="003B1BE0"/>
    <w:rsid w:val="003B6F58"/>
    <w:rsid w:val="003C0D7D"/>
    <w:rsid w:val="003C138C"/>
    <w:rsid w:val="003C3F24"/>
    <w:rsid w:val="003C4858"/>
    <w:rsid w:val="003C5BB3"/>
    <w:rsid w:val="003C6B30"/>
    <w:rsid w:val="003D1170"/>
    <w:rsid w:val="003D1B8E"/>
    <w:rsid w:val="003D2D72"/>
    <w:rsid w:val="003D36EE"/>
    <w:rsid w:val="003D6532"/>
    <w:rsid w:val="003D6E0A"/>
    <w:rsid w:val="003E1100"/>
    <w:rsid w:val="003E23C9"/>
    <w:rsid w:val="003E2B28"/>
    <w:rsid w:val="003F3518"/>
    <w:rsid w:val="003F3FCB"/>
    <w:rsid w:val="003F40D4"/>
    <w:rsid w:val="003F46A4"/>
    <w:rsid w:val="003F504F"/>
    <w:rsid w:val="003F5B69"/>
    <w:rsid w:val="003F6115"/>
    <w:rsid w:val="003F7C0D"/>
    <w:rsid w:val="00401512"/>
    <w:rsid w:val="004105EF"/>
    <w:rsid w:val="00415A1A"/>
    <w:rsid w:val="0042326A"/>
    <w:rsid w:val="00423F96"/>
    <w:rsid w:val="004249F9"/>
    <w:rsid w:val="0043172A"/>
    <w:rsid w:val="00431F4F"/>
    <w:rsid w:val="0043351E"/>
    <w:rsid w:val="00433676"/>
    <w:rsid w:val="004358B0"/>
    <w:rsid w:val="00436504"/>
    <w:rsid w:val="0043740D"/>
    <w:rsid w:val="004405C7"/>
    <w:rsid w:val="00441D39"/>
    <w:rsid w:val="004429A3"/>
    <w:rsid w:val="00442AF8"/>
    <w:rsid w:val="00443331"/>
    <w:rsid w:val="00443788"/>
    <w:rsid w:val="00444F84"/>
    <w:rsid w:val="0044514A"/>
    <w:rsid w:val="004462D2"/>
    <w:rsid w:val="004475F9"/>
    <w:rsid w:val="00447E59"/>
    <w:rsid w:val="00451CBC"/>
    <w:rsid w:val="00457244"/>
    <w:rsid w:val="00457DC2"/>
    <w:rsid w:val="00460870"/>
    <w:rsid w:val="00460DAD"/>
    <w:rsid w:val="0046227D"/>
    <w:rsid w:val="004652EC"/>
    <w:rsid w:val="00465E37"/>
    <w:rsid w:val="00466339"/>
    <w:rsid w:val="00466449"/>
    <w:rsid w:val="00466EA1"/>
    <w:rsid w:val="0046780A"/>
    <w:rsid w:val="00467F96"/>
    <w:rsid w:val="004733D3"/>
    <w:rsid w:val="00475064"/>
    <w:rsid w:val="004809EB"/>
    <w:rsid w:val="0048401C"/>
    <w:rsid w:val="0048642E"/>
    <w:rsid w:val="00487179"/>
    <w:rsid w:val="00487315"/>
    <w:rsid w:val="00487DE5"/>
    <w:rsid w:val="00493DA3"/>
    <w:rsid w:val="00494530"/>
    <w:rsid w:val="00494624"/>
    <w:rsid w:val="00495001"/>
    <w:rsid w:val="004951A2"/>
    <w:rsid w:val="004965E9"/>
    <w:rsid w:val="00496942"/>
    <w:rsid w:val="004977CA"/>
    <w:rsid w:val="004A112E"/>
    <w:rsid w:val="004A42F1"/>
    <w:rsid w:val="004A63B8"/>
    <w:rsid w:val="004A76F2"/>
    <w:rsid w:val="004B4C84"/>
    <w:rsid w:val="004B51E3"/>
    <w:rsid w:val="004B6ED7"/>
    <w:rsid w:val="004C1B87"/>
    <w:rsid w:val="004C553B"/>
    <w:rsid w:val="004C79FE"/>
    <w:rsid w:val="004C7C0F"/>
    <w:rsid w:val="004D0DD7"/>
    <w:rsid w:val="004D1209"/>
    <w:rsid w:val="004D2ABE"/>
    <w:rsid w:val="004D3050"/>
    <w:rsid w:val="004D4247"/>
    <w:rsid w:val="004D4E2E"/>
    <w:rsid w:val="004D7237"/>
    <w:rsid w:val="004D794D"/>
    <w:rsid w:val="004D7FCB"/>
    <w:rsid w:val="004E0C05"/>
    <w:rsid w:val="004E3473"/>
    <w:rsid w:val="004E3CC1"/>
    <w:rsid w:val="004F0052"/>
    <w:rsid w:val="004F1425"/>
    <w:rsid w:val="004F2BD3"/>
    <w:rsid w:val="004F3309"/>
    <w:rsid w:val="004F43F0"/>
    <w:rsid w:val="004F47FF"/>
    <w:rsid w:val="00501AEF"/>
    <w:rsid w:val="005034E3"/>
    <w:rsid w:val="00504E55"/>
    <w:rsid w:val="005058EC"/>
    <w:rsid w:val="00506A2D"/>
    <w:rsid w:val="0050739A"/>
    <w:rsid w:val="005100DC"/>
    <w:rsid w:val="00511660"/>
    <w:rsid w:val="00511C47"/>
    <w:rsid w:val="00511F38"/>
    <w:rsid w:val="005127D7"/>
    <w:rsid w:val="00512A0D"/>
    <w:rsid w:val="00513C56"/>
    <w:rsid w:val="00516E0C"/>
    <w:rsid w:val="005170CA"/>
    <w:rsid w:val="00517CCE"/>
    <w:rsid w:val="00521E60"/>
    <w:rsid w:val="005229A0"/>
    <w:rsid w:val="00522D50"/>
    <w:rsid w:val="00527D92"/>
    <w:rsid w:val="00531210"/>
    <w:rsid w:val="00531BAF"/>
    <w:rsid w:val="00537781"/>
    <w:rsid w:val="00537C89"/>
    <w:rsid w:val="005409DB"/>
    <w:rsid w:val="00542C62"/>
    <w:rsid w:val="00543F5F"/>
    <w:rsid w:val="00545698"/>
    <w:rsid w:val="00545DBD"/>
    <w:rsid w:val="00546149"/>
    <w:rsid w:val="005469E8"/>
    <w:rsid w:val="005514BA"/>
    <w:rsid w:val="005536A6"/>
    <w:rsid w:val="00555089"/>
    <w:rsid w:val="005565F1"/>
    <w:rsid w:val="00556E53"/>
    <w:rsid w:val="00562259"/>
    <w:rsid w:val="005655BD"/>
    <w:rsid w:val="00566C05"/>
    <w:rsid w:val="00570A83"/>
    <w:rsid w:val="00573B46"/>
    <w:rsid w:val="00573C8F"/>
    <w:rsid w:val="00573F8B"/>
    <w:rsid w:val="00575811"/>
    <w:rsid w:val="00576C5E"/>
    <w:rsid w:val="00577C17"/>
    <w:rsid w:val="00580631"/>
    <w:rsid w:val="00580957"/>
    <w:rsid w:val="00581386"/>
    <w:rsid w:val="0058248B"/>
    <w:rsid w:val="005824FB"/>
    <w:rsid w:val="005827A7"/>
    <w:rsid w:val="00585B39"/>
    <w:rsid w:val="00586041"/>
    <w:rsid w:val="00586955"/>
    <w:rsid w:val="0059184C"/>
    <w:rsid w:val="00591B1C"/>
    <w:rsid w:val="0059473D"/>
    <w:rsid w:val="00594D69"/>
    <w:rsid w:val="005955BA"/>
    <w:rsid w:val="005A0B59"/>
    <w:rsid w:val="005A245A"/>
    <w:rsid w:val="005A27C0"/>
    <w:rsid w:val="005A2C7B"/>
    <w:rsid w:val="005A328C"/>
    <w:rsid w:val="005A34D0"/>
    <w:rsid w:val="005A3A94"/>
    <w:rsid w:val="005A3DD4"/>
    <w:rsid w:val="005A689F"/>
    <w:rsid w:val="005A68ED"/>
    <w:rsid w:val="005A7987"/>
    <w:rsid w:val="005B012F"/>
    <w:rsid w:val="005B089C"/>
    <w:rsid w:val="005B0F9A"/>
    <w:rsid w:val="005B1A42"/>
    <w:rsid w:val="005B1D03"/>
    <w:rsid w:val="005B2702"/>
    <w:rsid w:val="005B46BD"/>
    <w:rsid w:val="005B4DB1"/>
    <w:rsid w:val="005B6D33"/>
    <w:rsid w:val="005B71F6"/>
    <w:rsid w:val="005C06B9"/>
    <w:rsid w:val="005C162E"/>
    <w:rsid w:val="005C1B19"/>
    <w:rsid w:val="005C25C7"/>
    <w:rsid w:val="005C417A"/>
    <w:rsid w:val="005C4BBC"/>
    <w:rsid w:val="005C6F00"/>
    <w:rsid w:val="005C779C"/>
    <w:rsid w:val="005D0FE6"/>
    <w:rsid w:val="005D22FC"/>
    <w:rsid w:val="005D3D41"/>
    <w:rsid w:val="005D4178"/>
    <w:rsid w:val="005D736F"/>
    <w:rsid w:val="005E4F70"/>
    <w:rsid w:val="005E7CE8"/>
    <w:rsid w:val="005F026F"/>
    <w:rsid w:val="005F162E"/>
    <w:rsid w:val="005F16C3"/>
    <w:rsid w:val="005F2D73"/>
    <w:rsid w:val="005F328B"/>
    <w:rsid w:val="005F6547"/>
    <w:rsid w:val="005F74F3"/>
    <w:rsid w:val="005F7573"/>
    <w:rsid w:val="0060161F"/>
    <w:rsid w:val="00601E1E"/>
    <w:rsid w:val="006043A4"/>
    <w:rsid w:val="00605A28"/>
    <w:rsid w:val="0060668F"/>
    <w:rsid w:val="00606C64"/>
    <w:rsid w:val="00606F59"/>
    <w:rsid w:val="0061184C"/>
    <w:rsid w:val="0061213C"/>
    <w:rsid w:val="00614E98"/>
    <w:rsid w:val="0062219C"/>
    <w:rsid w:val="0062295C"/>
    <w:rsid w:val="00623AD2"/>
    <w:rsid w:val="00632A09"/>
    <w:rsid w:val="00632B51"/>
    <w:rsid w:val="00633021"/>
    <w:rsid w:val="00633CD9"/>
    <w:rsid w:val="00636962"/>
    <w:rsid w:val="00644C71"/>
    <w:rsid w:val="00644F2D"/>
    <w:rsid w:val="006462FA"/>
    <w:rsid w:val="006572BE"/>
    <w:rsid w:val="00657363"/>
    <w:rsid w:val="00657886"/>
    <w:rsid w:val="00660EBB"/>
    <w:rsid w:val="00661021"/>
    <w:rsid w:val="006619F4"/>
    <w:rsid w:val="0066300B"/>
    <w:rsid w:val="0066352B"/>
    <w:rsid w:val="00663CC5"/>
    <w:rsid w:val="00663FF0"/>
    <w:rsid w:val="00670660"/>
    <w:rsid w:val="006722A1"/>
    <w:rsid w:val="006738B3"/>
    <w:rsid w:val="00676705"/>
    <w:rsid w:val="0067671C"/>
    <w:rsid w:val="00684D69"/>
    <w:rsid w:val="00684E55"/>
    <w:rsid w:val="00686AF3"/>
    <w:rsid w:val="006909C9"/>
    <w:rsid w:val="006928F3"/>
    <w:rsid w:val="00693B0E"/>
    <w:rsid w:val="006952F5"/>
    <w:rsid w:val="006A350C"/>
    <w:rsid w:val="006A416D"/>
    <w:rsid w:val="006A4337"/>
    <w:rsid w:val="006A5596"/>
    <w:rsid w:val="006A653B"/>
    <w:rsid w:val="006B0362"/>
    <w:rsid w:val="006B4620"/>
    <w:rsid w:val="006B4ED2"/>
    <w:rsid w:val="006B6634"/>
    <w:rsid w:val="006B6E3B"/>
    <w:rsid w:val="006C1B42"/>
    <w:rsid w:val="006C285C"/>
    <w:rsid w:val="006C3224"/>
    <w:rsid w:val="006C375B"/>
    <w:rsid w:val="006C56C9"/>
    <w:rsid w:val="006C67D7"/>
    <w:rsid w:val="006D144F"/>
    <w:rsid w:val="006D567B"/>
    <w:rsid w:val="006D72C7"/>
    <w:rsid w:val="006E0B76"/>
    <w:rsid w:val="006E1CF0"/>
    <w:rsid w:val="006E2EB3"/>
    <w:rsid w:val="006E3EAB"/>
    <w:rsid w:val="006E521B"/>
    <w:rsid w:val="006E5DE0"/>
    <w:rsid w:val="006E7439"/>
    <w:rsid w:val="006E798E"/>
    <w:rsid w:val="006F30B4"/>
    <w:rsid w:val="006F3F8C"/>
    <w:rsid w:val="006F46C3"/>
    <w:rsid w:val="006F476D"/>
    <w:rsid w:val="006F4D32"/>
    <w:rsid w:val="006F6E12"/>
    <w:rsid w:val="007009AA"/>
    <w:rsid w:val="007016EE"/>
    <w:rsid w:val="00701A84"/>
    <w:rsid w:val="007026E3"/>
    <w:rsid w:val="007036C3"/>
    <w:rsid w:val="00705859"/>
    <w:rsid w:val="00706041"/>
    <w:rsid w:val="0070693C"/>
    <w:rsid w:val="007110BB"/>
    <w:rsid w:val="00711201"/>
    <w:rsid w:val="007123AF"/>
    <w:rsid w:val="00712A96"/>
    <w:rsid w:val="00712CE7"/>
    <w:rsid w:val="00716E52"/>
    <w:rsid w:val="00721056"/>
    <w:rsid w:val="007218F7"/>
    <w:rsid w:val="00723914"/>
    <w:rsid w:val="00725C94"/>
    <w:rsid w:val="00726A6C"/>
    <w:rsid w:val="00726B23"/>
    <w:rsid w:val="00726DB7"/>
    <w:rsid w:val="00727E29"/>
    <w:rsid w:val="00732C17"/>
    <w:rsid w:val="00733083"/>
    <w:rsid w:val="0073378C"/>
    <w:rsid w:val="007342E5"/>
    <w:rsid w:val="00736008"/>
    <w:rsid w:val="00742B21"/>
    <w:rsid w:val="00744517"/>
    <w:rsid w:val="00744EEB"/>
    <w:rsid w:val="00750137"/>
    <w:rsid w:val="0075115C"/>
    <w:rsid w:val="007525B7"/>
    <w:rsid w:val="00752BB4"/>
    <w:rsid w:val="00755157"/>
    <w:rsid w:val="0075605F"/>
    <w:rsid w:val="00757254"/>
    <w:rsid w:val="007607C0"/>
    <w:rsid w:val="00763758"/>
    <w:rsid w:val="00764EC6"/>
    <w:rsid w:val="00766147"/>
    <w:rsid w:val="00766DD4"/>
    <w:rsid w:val="00770518"/>
    <w:rsid w:val="007713F9"/>
    <w:rsid w:val="007724D2"/>
    <w:rsid w:val="00772E30"/>
    <w:rsid w:val="0077394D"/>
    <w:rsid w:val="007769FC"/>
    <w:rsid w:val="0077795A"/>
    <w:rsid w:val="00780470"/>
    <w:rsid w:val="0078783B"/>
    <w:rsid w:val="00790A94"/>
    <w:rsid w:val="007911B2"/>
    <w:rsid w:val="00793FD2"/>
    <w:rsid w:val="00795B81"/>
    <w:rsid w:val="0079761A"/>
    <w:rsid w:val="007979ED"/>
    <w:rsid w:val="00797ACE"/>
    <w:rsid w:val="007A08F7"/>
    <w:rsid w:val="007A0BC1"/>
    <w:rsid w:val="007A12F8"/>
    <w:rsid w:val="007A1E5B"/>
    <w:rsid w:val="007A2766"/>
    <w:rsid w:val="007A36C9"/>
    <w:rsid w:val="007A4337"/>
    <w:rsid w:val="007A5188"/>
    <w:rsid w:val="007A52A7"/>
    <w:rsid w:val="007A6512"/>
    <w:rsid w:val="007A67FD"/>
    <w:rsid w:val="007B3D71"/>
    <w:rsid w:val="007B5213"/>
    <w:rsid w:val="007B7DDF"/>
    <w:rsid w:val="007C1536"/>
    <w:rsid w:val="007C292F"/>
    <w:rsid w:val="007C3667"/>
    <w:rsid w:val="007C50B1"/>
    <w:rsid w:val="007C7EF1"/>
    <w:rsid w:val="007D07A2"/>
    <w:rsid w:val="007D0B58"/>
    <w:rsid w:val="007D16DC"/>
    <w:rsid w:val="007D21D2"/>
    <w:rsid w:val="007D29F2"/>
    <w:rsid w:val="007D4C26"/>
    <w:rsid w:val="007D5CBB"/>
    <w:rsid w:val="007D6572"/>
    <w:rsid w:val="007E0563"/>
    <w:rsid w:val="007E35A9"/>
    <w:rsid w:val="007E583D"/>
    <w:rsid w:val="007E6590"/>
    <w:rsid w:val="007E78FD"/>
    <w:rsid w:val="007F004F"/>
    <w:rsid w:val="007F2317"/>
    <w:rsid w:val="007F33A5"/>
    <w:rsid w:val="007F36C8"/>
    <w:rsid w:val="007F6A96"/>
    <w:rsid w:val="008016DA"/>
    <w:rsid w:val="00803D1B"/>
    <w:rsid w:val="00804854"/>
    <w:rsid w:val="008053FB"/>
    <w:rsid w:val="00805D01"/>
    <w:rsid w:val="0080693E"/>
    <w:rsid w:val="0081198F"/>
    <w:rsid w:val="00814489"/>
    <w:rsid w:val="0081483B"/>
    <w:rsid w:val="00814ACE"/>
    <w:rsid w:val="00815B5B"/>
    <w:rsid w:val="00816182"/>
    <w:rsid w:val="00816E09"/>
    <w:rsid w:val="00822B05"/>
    <w:rsid w:val="00823971"/>
    <w:rsid w:val="00826534"/>
    <w:rsid w:val="00826C28"/>
    <w:rsid w:val="00830D14"/>
    <w:rsid w:val="008310EE"/>
    <w:rsid w:val="008314BD"/>
    <w:rsid w:val="008331F8"/>
    <w:rsid w:val="00833E5B"/>
    <w:rsid w:val="00842D0A"/>
    <w:rsid w:val="00844ABB"/>
    <w:rsid w:val="0084602F"/>
    <w:rsid w:val="0084659D"/>
    <w:rsid w:val="00847755"/>
    <w:rsid w:val="008508EA"/>
    <w:rsid w:val="00851FB3"/>
    <w:rsid w:val="0085267C"/>
    <w:rsid w:val="008536C2"/>
    <w:rsid w:val="008567AE"/>
    <w:rsid w:val="008602E0"/>
    <w:rsid w:val="0086218F"/>
    <w:rsid w:val="008625DD"/>
    <w:rsid w:val="008631FE"/>
    <w:rsid w:val="0086397B"/>
    <w:rsid w:val="00863AEE"/>
    <w:rsid w:val="00864F9D"/>
    <w:rsid w:val="00865A18"/>
    <w:rsid w:val="00877B50"/>
    <w:rsid w:val="00880C4E"/>
    <w:rsid w:val="00884568"/>
    <w:rsid w:val="00886D39"/>
    <w:rsid w:val="0089077E"/>
    <w:rsid w:val="008908D5"/>
    <w:rsid w:val="008936E5"/>
    <w:rsid w:val="008946EA"/>
    <w:rsid w:val="008A0C4A"/>
    <w:rsid w:val="008A3781"/>
    <w:rsid w:val="008A4F8A"/>
    <w:rsid w:val="008A5FCF"/>
    <w:rsid w:val="008A6265"/>
    <w:rsid w:val="008B4958"/>
    <w:rsid w:val="008C0443"/>
    <w:rsid w:val="008C4650"/>
    <w:rsid w:val="008C4CC6"/>
    <w:rsid w:val="008C4D93"/>
    <w:rsid w:val="008C5DE5"/>
    <w:rsid w:val="008D0EA5"/>
    <w:rsid w:val="008D1879"/>
    <w:rsid w:val="008D19D3"/>
    <w:rsid w:val="008D1B86"/>
    <w:rsid w:val="008D2B4F"/>
    <w:rsid w:val="008D33A1"/>
    <w:rsid w:val="008D43B6"/>
    <w:rsid w:val="008E0C18"/>
    <w:rsid w:val="008E1387"/>
    <w:rsid w:val="008E61B7"/>
    <w:rsid w:val="008E6766"/>
    <w:rsid w:val="008E720B"/>
    <w:rsid w:val="008F2DB6"/>
    <w:rsid w:val="008F6AF6"/>
    <w:rsid w:val="008F78BF"/>
    <w:rsid w:val="0090152F"/>
    <w:rsid w:val="00901F1C"/>
    <w:rsid w:val="00905AE6"/>
    <w:rsid w:val="00905BBE"/>
    <w:rsid w:val="00906C83"/>
    <w:rsid w:val="009102B1"/>
    <w:rsid w:val="00910453"/>
    <w:rsid w:val="009117AF"/>
    <w:rsid w:val="00912AB2"/>
    <w:rsid w:val="00913DA9"/>
    <w:rsid w:val="00915715"/>
    <w:rsid w:val="00915BD0"/>
    <w:rsid w:val="009165B6"/>
    <w:rsid w:val="0091764F"/>
    <w:rsid w:val="00921EF2"/>
    <w:rsid w:val="00922D1D"/>
    <w:rsid w:val="00923218"/>
    <w:rsid w:val="00923A54"/>
    <w:rsid w:val="0092577B"/>
    <w:rsid w:val="00926831"/>
    <w:rsid w:val="00926ED8"/>
    <w:rsid w:val="00931126"/>
    <w:rsid w:val="0093341D"/>
    <w:rsid w:val="009336D5"/>
    <w:rsid w:val="00937072"/>
    <w:rsid w:val="00937163"/>
    <w:rsid w:val="00942FF5"/>
    <w:rsid w:val="009435B1"/>
    <w:rsid w:val="00943B39"/>
    <w:rsid w:val="00943F58"/>
    <w:rsid w:val="0094443B"/>
    <w:rsid w:val="0094469F"/>
    <w:rsid w:val="0094784E"/>
    <w:rsid w:val="009478B1"/>
    <w:rsid w:val="0094793B"/>
    <w:rsid w:val="00950A4C"/>
    <w:rsid w:val="0095113B"/>
    <w:rsid w:val="009521B6"/>
    <w:rsid w:val="009522E0"/>
    <w:rsid w:val="00953D09"/>
    <w:rsid w:val="00956336"/>
    <w:rsid w:val="00956DBA"/>
    <w:rsid w:val="00956DCC"/>
    <w:rsid w:val="00957F5C"/>
    <w:rsid w:val="0096197F"/>
    <w:rsid w:val="00962420"/>
    <w:rsid w:val="009647E5"/>
    <w:rsid w:val="00964882"/>
    <w:rsid w:val="00964BFB"/>
    <w:rsid w:val="00966ACF"/>
    <w:rsid w:val="009677AC"/>
    <w:rsid w:val="009678EF"/>
    <w:rsid w:val="00967968"/>
    <w:rsid w:val="00972737"/>
    <w:rsid w:val="009727B4"/>
    <w:rsid w:val="00972D10"/>
    <w:rsid w:val="009751C9"/>
    <w:rsid w:val="00976894"/>
    <w:rsid w:val="00976B63"/>
    <w:rsid w:val="0098095B"/>
    <w:rsid w:val="00981293"/>
    <w:rsid w:val="009816BB"/>
    <w:rsid w:val="00984168"/>
    <w:rsid w:val="009841D2"/>
    <w:rsid w:val="0098473F"/>
    <w:rsid w:val="00984E29"/>
    <w:rsid w:val="0098548A"/>
    <w:rsid w:val="009857A5"/>
    <w:rsid w:val="00986BD5"/>
    <w:rsid w:val="00987946"/>
    <w:rsid w:val="009914DB"/>
    <w:rsid w:val="00993DD3"/>
    <w:rsid w:val="0099765D"/>
    <w:rsid w:val="009979E4"/>
    <w:rsid w:val="009A21F7"/>
    <w:rsid w:val="009A39BE"/>
    <w:rsid w:val="009A4B55"/>
    <w:rsid w:val="009A6828"/>
    <w:rsid w:val="009A682E"/>
    <w:rsid w:val="009A6E46"/>
    <w:rsid w:val="009B02F0"/>
    <w:rsid w:val="009B115E"/>
    <w:rsid w:val="009B46E3"/>
    <w:rsid w:val="009B54E6"/>
    <w:rsid w:val="009C01E5"/>
    <w:rsid w:val="009C35FB"/>
    <w:rsid w:val="009C390B"/>
    <w:rsid w:val="009C42F0"/>
    <w:rsid w:val="009C462A"/>
    <w:rsid w:val="009C5D2B"/>
    <w:rsid w:val="009D0A6C"/>
    <w:rsid w:val="009D0E76"/>
    <w:rsid w:val="009D1019"/>
    <w:rsid w:val="009D7A85"/>
    <w:rsid w:val="009D7D8B"/>
    <w:rsid w:val="009E1B49"/>
    <w:rsid w:val="009E280D"/>
    <w:rsid w:val="009E31DA"/>
    <w:rsid w:val="009E3E65"/>
    <w:rsid w:val="009E55B0"/>
    <w:rsid w:val="009E76B9"/>
    <w:rsid w:val="009E77CE"/>
    <w:rsid w:val="009F17BF"/>
    <w:rsid w:val="009F1AC6"/>
    <w:rsid w:val="009F3D52"/>
    <w:rsid w:val="009F3F7A"/>
    <w:rsid w:val="009F4644"/>
    <w:rsid w:val="009F46DE"/>
    <w:rsid w:val="009F506E"/>
    <w:rsid w:val="009F7053"/>
    <w:rsid w:val="00A00218"/>
    <w:rsid w:val="00A01041"/>
    <w:rsid w:val="00A013E6"/>
    <w:rsid w:val="00A04678"/>
    <w:rsid w:val="00A059CF"/>
    <w:rsid w:val="00A1079F"/>
    <w:rsid w:val="00A11B3E"/>
    <w:rsid w:val="00A14161"/>
    <w:rsid w:val="00A161A9"/>
    <w:rsid w:val="00A16257"/>
    <w:rsid w:val="00A20C87"/>
    <w:rsid w:val="00A2123F"/>
    <w:rsid w:val="00A214E6"/>
    <w:rsid w:val="00A21F26"/>
    <w:rsid w:val="00A22BFC"/>
    <w:rsid w:val="00A236AA"/>
    <w:rsid w:val="00A239C4"/>
    <w:rsid w:val="00A24AE5"/>
    <w:rsid w:val="00A27544"/>
    <w:rsid w:val="00A27AD2"/>
    <w:rsid w:val="00A31FBE"/>
    <w:rsid w:val="00A3262A"/>
    <w:rsid w:val="00A37564"/>
    <w:rsid w:val="00A40975"/>
    <w:rsid w:val="00A419AE"/>
    <w:rsid w:val="00A4417B"/>
    <w:rsid w:val="00A443E0"/>
    <w:rsid w:val="00A51D94"/>
    <w:rsid w:val="00A549E2"/>
    <w:rsid w:val="00A55197"/>
    <w:rsid w:val="00A578C3"/>
    <w:rsid w:val="00A62D74"/>
    <w:rsid w:val="00A64CFB"/>
    <w:rsid w:val="00A660F9"/>
    <w:rsid w:val="00A7108D"/>
    <w:rsid w:val="00A71467"/>
    <w:rsid w:val="00A71821"/>
    <w:rsid w:val="00A71A3D"/>
    <w:rsid w:val="00A74B5E"/>
    <w:rsid w:val="00A75A0E"/>
    <w:rsid w:val="00A75AAB"/>
    <w:rsid w:val="00A77C2A"/>
    <w:rsid w:val="00A8150A"/>
    <w:rsid w:val="00A8366F"/>
    <w:rsid w:val="00A83DE4"/>
    <w:rsid w:val="00A844AC"/>
    <w:rsid w:val="00A8455C"/>
    <w:rsid w:val="00A84C2F"/>
    <w:rsid w:val="00A86BC1"/>
    <w:rsid w:val="00A909F4"/>
    <w:rsid w:val="00A90FFC"/>
    <w:rsid w:val="00A916D1"/>
    <w:rsid w:val="00A92FCC"/>
    <w:rsid w:val="00A93CEE"/>
    <w:rsid w:val="00A95DBF"/>
    <w:rsid w:val="00A97ECB"/>
    <w:rsid w:val="00AA218F"/>
    <w:rsid w:val="00AA77E6"/>
    <w:rsid w:val="00AB134A"/>
    <w:rsid w:val="00AB22FD"/>
    <w:rsid w:val="00AB23C9"/>
    <w:rsid w:val="00AB249C"/>
    <w:rsid w:val="00AB3141"/>
    <w:rsid w:val="00AB596E"/>
    <w:rsid w:val="00AB5EF7"/>
    <w:rsid w:val="00AB603C"/>
    <w:rsid w:val="00AB609D"/>
    <w:rsid w:val="00AB66B8"/>
    <w:rsid w:val="00AB6EDE"/>
    <w:rsid w:val="00AB74F6"/>
    <w:rsid w:val="00AC12CA"/>
    <w:rsid w:val="00AC1FA4"/>
    <w:rsid w:val="00AC2268"/>
    <w:rsid w:val="00AC31E5"/>
    <w:rsid w:val="00AC329F"/>
    <w:rsid w:val="00AC57F1"/>
    <w:rsid w:val="00AC61B2"/>
    <w:rsid w:val="00AC6253"/>
    <w:rsid w:val="00AD0E44"/>
    <w:rsid w:val="00AD1312"/>
    <w:rsid w:val="00AD13A8"/>
    <w:rsid w:val="00AD25B5"/>
    <w:rsid w:val="00AD5BF0"/>
    <w:rsid w:val="00AD75D8"/>
    <w:rsid w:val="00AD77E8"/>
    <w:rsid w:val="00AD7CAC"/>
    <w:rsid w:val="00AD7DE4"/>
    <w:rsid w:val="00AE08C0"/>
    <w:rsid w:val="00AE2035"/>
    <w:rsid w:val="00AE2214"/>
    <w:rsid w:val="00AE2A53"/>
    <w:rsid w:val="00AE3446"/>
    <w:rsid w:val="00AE3D01"/>
    <w:rsid w:val="00AE43CC"/>
    <w:rsid w:val="00AE44D1"/>
    <w:rsid w:val="00AE4FC4"/>
    <w:rsid w:val="00AE5260"/>
    <w:rsid w:val="00AE5CF7"/>
    <w:rsid w:val="00AE6733"/>
    <w:rsid w:val="00AE67B6"/>
    <w:rsid w:val="00AF044A"/>
    <w:rsid w:val="00AF08A4"/>
    <w:rsid w:val="00AF0D29"/>
    <w:rsid w:val="00AF2E52"/>
    <w:rsid w:val="00AF3442"/>
    <w:rsid w:val="00AF3762"/>
    <w:rsid w:val="00AF49A0"/>
    <w:rsid w:val="00AF5D13"/>
    <w:rsid w:val="00AF6467"/>
    <w:rsid w:val="00AF7CFA"/>
    <w:rsid w:val="00B00B01"/>
    <w:rsid w:val="00B00E2A"/>
    <w:rsid w:val="00B01F1E"/>
    <w:rsid w:val="00B05426"/>
    <w:rsid w:val="00B055E8"/>
    <w:rsid w:val="00B05EB7"/>
    <w:rsid w:val="00B0641E"/>
    <w:rsid w:val="00B06C99"/>
    <w:rsid w:val="00B1151B"/>
    <w:rsid w:val="00B11598"/>
    <w:rsid w:val="00B1193D"/>
    <w:rsid w:val="00B153F2"/>
    <w:rsid w:val="00B16D8F"/>
    <w:rsid w:val="00B16E6A"/>
    <w:rsid w:val="00B17226"/>
    <w:rsid w:val="00B1739F"/>
    <w:rsid w:val="00B2037B"/>
    <w:rsid w:val="00B20435"/>
    <w:rsid w:val="00B2133C"/>
    <w:rsid w:val="00B2193F"/>
    <w:rsid w:val="00B22B8C"/>
    <w:rsid w:val="00B22D70"/>
    <w:rsid w:val="00B23881"/>
    <w:rsid w:val="00B268C5"/>
    <w:rsid w:val="00B27EB7"/>
    <w:rsid w:val="00B320F5"/>
    <w:rsid w:val="00B33B4D"/>
    <w:rsid w:val="00B34169"/>
    <w:rsid w:val="00B4061B"/>
    <w:rsid w:val="00B40AC5"/>
    <w:rsid w:val="00B40DB4"/>
    <w:rsid w:val="00B43529"/>
    <w:rsid w:val="00B45828"/>
    <w:rsid w:val="00B45D66"/>
    <w:rsid w:val="00B46C59"/>
    <w:rsid w:val="00B51807"/>
    <w:rsid w:val="00B51D11"/>
    <w:rsid w:val="00B52304"/>
    <w:rsid w:val="00B53724"/>
    <w:rsid w:val="00B54891"/>
    <w:rsid w:val="00B55644"/>
    <w:rsid w:val="00B568D1"/>
    <w:rsid w:val="00B5691F"/>
    <w:rsid w:val="00B56F9E"/>
    <w:rsid w:val="00B6040F"/>
    <w:rsid w:val="00B60D18"/>
    <w:rsid w:val="00B60FDB"/>
    <w:rsid w:val="00B6264C"/>
    <w:rsid w:val="00B66004"/>
    <w:rsid w:val="00B67776"/>
    <w:rsid w:val="00B67E1D"/>
    <w:rsid w:val="00B70AB4"/>
    <w:rsid w:val="00B756FD"/>
    <w:rsid w:val="00B778A4"/>
    <w:rsid w:val="00B80C49"/>
    <w:rsid w:val="00B82CF7"/>
    <w:rsid w:val="00B82E6C"/>
    <w:rsid w:val="00B83E5B"/>
    <w:rsid w:val="00B840FF"/>
    <w:rsid w:val="00B84A8B"/>
    <w:rsid w:val="00B850F5"/>
    <w:rsid w:val="00B8792A"/>
    <w:rsid w:val="00B87E24"/>
    <w:rsid w:val="00B923D8"/>
    <w:rsid w:val="00B924CB"/>
    <w:rsid w:val="00B92C5A"/>
    <w:rsid w:val="00B92F02"/>
    <w:rsid w:val="00BA079D"/>
    <w:rsid w:val="00BA1742"/>
    <w:rsid w:val="00BA32F0"/>
    <w:rsid w:val="00BA4A15"/>
    <w:rsid w:val="00BA6A1E"/>
    <w:rsid w:val="00BA779B"/>
    <w:rsid w:val="00BB09AC"/>
    <w:rsid w:val="00BB13BD"/>
    <w:rsid w:val="00BB14E3"/>
    <w:rsid w:val="00BB3945"/>
    <w:rsid w:val="00BB6955"/>
    <w:rsid w:val="00BC019E"/>
    <w:rsid w:val="00BC31D7"/>
    <w:rsid w:val="00BC5F10"/>
    <w:rsid w:val="00BC7BDB"/>
    <w:rsid w:val="00BD0888"/>
    <w:rsid w:val="00BD16CC"/>
    <w:rsid w:val="00BD2382"/>
    <w:rsid w:val="00BD38A7"/>
    <w:rsid w:val="00BD4CB1"/>
    <w:rsid w:val="00BD5685"/>
    <w:rsid w:val="00BD58EC"/>
    <w:rsid w:val="00BD6AE4"/>
    <w:rsid w:val="00BD6C5E"/>
    <w:rsid w:val="00BD7122"/>
    <w:rsid w:val="00BE044B"/>
    <w:rsid w:val="00BE11E1"/>
    <w:rsid w:val="00BE1F7A"/>
    <w:rsid w:val="00BE2267"/>
    <w:rsid w:val="00BE40A3"/>
    <w:rsid w:val="00BE52C6"/>
    <w:rsid w:val="00BE7A0D"/>
    <w:rsid w:val="00BF1EA6"/>
    <w:rsid w:val="00BF1F32"/>
    <w:rsid w:val="00BF29BD"/>
    <w:rsid w:val="00BF4EBD"/>
    <w:rsid w:val="00BF5672"/>
    <w:rsid w:val="00BF7CA8"/>
    <w:rsid w:val="00C000E6"/>
    <w:rsid w:val="00C02FEB"/>
    <w:rsid w:val="00C04D6B"/>
    <w:rsid w:val="00C061AE"/>
    <w:rsid w:val="00C10A53"/>
    <w:rsid w:val="00C11B1A"/>
    <w:rsid w:val="00C127E7"/>
    <w:rsid w:val="00C136A3"/>
    <w:rsid w:val="00C1558A"/>
    <w:rsid w:val="00C16E65"/>
    <w:rsid w:val="00C23D74"/>
    <w:rsid w:val="00C241B3"/>
    <w:rsid w:val="00C33549"/>
    <w:rsid w:val="00C36C90"/>
    <w:rsid w:val="00C405A8"/>
    <w:rsid w:val="00C409F2"/>
    <w:rsid w:val="00C40EFF"/>
    <w:rsid w:val="00C4130B"/>
    <w:rsid w:val="00C413D4"/>
    <w:rsid w:val="00C426BD"/>
    <w:rsid w:val="00C44344"/>
    <w:rsid w:val="00C461F3"/>
    <w:rsid w:val="00C473A5"/>
    <w:rsid w:val="00C50F27"/>
    <w:rsid w:val="00C53DCB"/>
    <w:rsid w:val="00C55FDC"/>
    <w:rsid w:val="00C561A1"/>
    <w:rsid w:val="00C57185"/>
    <w:rsid w:val="00C60374"/>
    <w:rsid w:val="00C60968"/>
    <w:rsid w:val="00C61807"/>
    <w:rsid w:val="00C61922"/>
    <w:rsid w:val="00C61D6B"/>
    <w:rsid w:val="00C65F10"/>
    <w:rsid w:val="00C66C96"/>
    <w:rsid w:val="00C66CD5"/>
    <w:rsid w:val="00C700DE"/>
    <w:rsid w:val="00C70506"/>
    <w:rsid w:val="00C72650"/>
    <w:rsid w:val="00C74CE6"/>
    <w:rsid w:val="00C750F1"/>
    <w:rsid w:val="00C75CB4"/>
    <w:rsid w:val="00C75D0D"/>
    <w:rsid w:val="00C77D07"/>
    <w:rsid w:val="00C8014F"/>
    <w:rsid w:val="00C81D19"/>
    <w:rsid w:val="00C8459E"/>
    <w:rsid w:val="00C84E72"/>
    <w:rsid w:val="00C85243"/>
    <w:rsid w:val="00C864B8"/>
    <w:rsid w:val="00C874F2"/>
    <w:rsid w:val="00C90E6B"/>
    <w:rsid w:val="00C9312C"/>
    <w:rsid w:val="00C97B27"/>
    <w:rsid w:val="00CA039A"/>
    <w:rsid w:val="00CA0E3C"/>
    <w:rsid w:val="00CA0F73"/>
    <w:rsid w:val="00CA3F3C"/>
    <w:rsid w:val="00CA4194"/>
    <w:rsid w:val="00CA54D2"/>
    <w:rsid w:val="00CA6029"/>
    <w:rsid w:val="00CB1463"/>
    <w:rsid w:val="00CB2000"/>
    <w:rsid w:val="00CB2A79"/>
    <w:rsid w:val="00CB4684"/>
    <w:rsid w:val="00CB48A6"/>
    <w:rsid w:val="00CB621C"/>
    <w:rsid w:val="00CB684E"/>
    <w:rsid w:val="00CB7AD1"/>
    <w:rsid w:val="00CC02F2"/>
    <w:rsid w:val="00CC3550"/>
    <w:rsid w:val="00CC4B8A"/>
    <w:rsid w:val="00CC4C1C"/>
    <w:rsid w:val="00CC52D1"/>
    <w:rsid w:val="00CC69FA"/>
    <w:rsid w:val="00CC6B34"/>
    <w:rsid w:val="00CC7505"/>
    <w:rsid w:val="00CC7F91"/>
    <w:rsid w:val="00CD09B4"/>
    <w:rsid w:val="00CD1E11"/>
    <w:rsid w:val="00CD3328"/>
    <w:rsid w:val="00CD5547"/>
    <w:rsid w:val="00CD675D"/>
    <w:rsid w:val="00CD6E9E"/>
    <w:rsid w:val="00CD6EE8"/>
    <w:rsid w:val="00CD737F"/>
    <w:rsid w:val="00CD7773"/>
    <w:rsid w:val="00CE691B"/>
    <w:rsid w:val="00CE76EA"/>
    <w:rsid w:val="00CE7721"/>
    <w:rsid w:val="00CE78B9"/>
    <w:rsid w:val="00CF0FFC"/>
    <w:rsid w:val="00CF1A27"/>
    <w:rsid w:val="00CF48A1"/>
    <w:rsid w:val="00CF5CD9"/>
    <w:rsid w:val="00CF67F1"/>
    <w:rsid w:val="00CF73F2"/>
    <w:rsid w:val="00D00395"/>
    <w:rsid w:val="00D019C4"/>
    <w:rsid w:val="00D01E73"/>
    <w:rsid w:val="00D0314D"/>
    <w:rsid w:val="00D05F0E"/>
    <w:rsid w:val="00D1028B"/>
    <w:rsid w:val="00D13DA8"/>
    <w:rsid w:val="00D14F63"/>
    <w:rsid w:val="00D1730A"/>
    <w:rsid w:val="00D178EB"/>
    <w:rsid w:val="00D17F26"/>
    <w:rsid w:val="00D2009B"/>
    <w:rsid w:val="00D2120A"/>
    <w:rsid w:val="00D2665C"/>
    <w:rsid w:val="00D31A22"/>
    <w:rsid w:val="00D326A0"/>
    <w:rsid w:val="00D32CD6"/>
    <w:rsid w:val="00D355AF"/>
    <w:rsid w:val="00D37A46"/>
    <w:rsid w:val="00D4185E"/>
    <w:rsid w:val="00D424F4"/>
    <w:rsid w:val="00D47A74"/>
    <w:rsid w:val="00D5254C"/>
    <w:rsid w:val="00D57F85"/>
    <w:rsid w:val="00D61E00"/>
    <w:rsid w:val="00D63B31"/>
    <w:rsid w:val="00D64677"/>
    <w:rsid w:val="00D701BD"/>
    <w:rsid w:val="00D70B9C"/>
    <w:rsid w:val="00D70ECD"/>
    <w:rsid w:val="00D71664"/>
    <w:rsid w:val="00D71740"/>
    <w:rsid w:val="00D71AF2"/>
    <w:rsid w:val="00D71C84"/>
    <w:rsid w:val="00D73671"/>
    <w:rsid w:val="00D74914"/>
    <w:rsid w:val="00D74937"/>
    <w:rsid w:val="00D763A3"/>
    <w:rsid w:val="00D7651E"/>
    <w:rsid w:val="00D765FC"/>
    <w:rsid w:val="00D76EE5"/>
    <w:rsid w:val="00D80CDC"/>
    <w:rsid w:val="00D80FD3"/>
    <w:rsid w:val="00D8264B"/>
    <w:rsid w:val="00D838CF"/>
    <w:rsid w:val="00D84750"/>
    <w:rsid w:val="00D879E6"/>
    <w:rsid w:val="00D9028D"/>
    <w:rsid w:val="00D90811"/>
    <w:rsid w:val="00D90E2B"/>
    <w:rsid w:val="00D91F21"/>
    <w:rsid w:val="00D935CD"/>
    <w:rsid w:val="00D94273"/>
    <w:rsid w:val="00D944A0"/>
    <w:rsid w:val="00D946E9"/>
    <w:rsid w:val="00D95A9E"/>
    <w:rsid w:val="00D969B9"/>
    <w:rsid w:val="00DA2CD9"/>
    <w:rsid w:val="00DA47F3"/>
    <w:rsid w:val="00DA53F2"/>
    <w:rsid w:val="00DA7EB6"/>
    <w:rsid w:val="00DB2502"/>
    <w:rsid w:val="00DB45CC"/>
    <w:rsid w:val="00DB4E85"/>
    <w:rsid w:val="00DB4EA5"/>
    <w:rsid w:val="00DB5096"/>
    <w:rsid w:val="00DB5F91"/>
    <w:rsid w:val="00DB7E41"/>
    <w:rsid w:val="00DC1BF6"/>
    <w:rsid w:val="00DC2AF1"/>
    <w:rsid w:val="00DC3A4D"/>
    <w:rsid w:val="00DC47DB"/>
    <w:rsid w:val="00DC4FA6"/>
    <w:rsid w:val="00DC500F"/>
    <w:rsid w:val="00DC76AE"/>
    <w:rsid w:val="00DD230C"/>
    <w:rsid w:val="00DD2358"/>
    <w:rsid w:val="00DD41DB"/>
    <w:rsid w:val="00DD4D70"/>
    <w:rsid w:val="00DD6336"/>
    <w:rsid w:val="00DE0C34"/>
    <w:rsid w:val="00DE2824"/>
    <w:rsid w:val="00DE2DF3"/>
    <w:rsid w:val="00DE3B31"/>
    <w:rsid w:val="00DE480E"/>
    <w:rsid w:val="00DE7014"/>
    <w:rsid w:val="00DE74C8"/>
    <w:rsid w:val="00DF231A"/>
    <w:rsid w:val="00DF4D03"/>
    <w:rsid w:val="00DF7312"/>
    <w:rsid w:val="00E00B48"/>
    <w:rsid w:val="00E0120B"/>
    <w:rsid w:val="00E02DBA"/>
    <w:rsid w:val="00E030EE"/>
    <w:rsid w:val="00E0723B"/>
    <w:rsid w:val="00E07911"/>
    <w:rsid w:val="00E1041C"/>
    <w:rsid w:val="00E108C3"/>
    <w:rsid w:val="00E11F03"/>
    <w:rsid w:val="00E120B9"/>
    <w:rsid w:val="00E12A19"/>
    <w:rsid w:val="00E12A32"/>
    <w:rsid w:val="00E13758"/>
    <w:rsid w:val="00E1468F"/>
    <w:rsid w:val="00E148F3"/>
    <w:rsid w:val="00E151DA"/>
    <w:rsid w:val="00E15382"/>
    <w:rsid w:val="00E20944"/>
    <w:rsid w:val="00E224DE"/>
    <w:rsid w:val="00E238A2"/>
    <w:rsid w:val="00E26B20"/>
    <w:rsid w:val="00E27A44"/>
    <w:rsid w:val="00E30E1A"/>
    <w:rsid w:val="00E3243B"/>
    <w:rsid w:val="00E335D8"/>
    <w:rsid w:val="00E33707"/>
    <w:rsid w:val="00E34005"/>
    <w:rsid w:val="00E36BA1"/>
    <w:rsid w:val="00E413AB"/>
    <w:rsid w:val="00E43274"/>
    <w:rsid w:val="00E4665E"/>
    <w:rsid w:val="00E53A1D"/>
    <w:rsid w:val="00E53F38"/>
    <w:rsid w:val="00E552C2"/>
    <w:rsid w:val="00E61C80"/>
    <w:rsid w:val="00E64E71"/>
    <w:rsid w:val="00E64F66"/>
    <w:rsid w:val="00E6660B"/>
    <w:rsid w:val="00E70AE9"/>
    <w:rsid w:val="00E70EB0"/>
    <w:rsid w:val="00E716B7"/>
    <w:rsid w:val="00E73940"/>
    <w:rsid w:val="00E73E35"/>
    <w:rsid w:val="00E740D3"/>
    <w:rsid w:val="00E766A8"/>
    <w:rsid w:val="00E807BA"/>
    <w:rsid w:val="00E80F7E"/>
    <w:rsid w:val="00E81594"/>
    <w:rsid w:val="00E8164C"/>
    <w:rsid w:val="00E82B5F"/>
    <w:rsid w:val="00E854D1"/>
    <w:rsid w:val="00E868D8"/>
    <w:rsid w:val="00E90AC6"/>
    <w:rsid w:val="00E90D94"/>
    <w:rsid w:val="00E91219"/>
    <w:rsid w:val="00E92FBE"/>
    <w:rsid w:val="00E95194"/>
    <w:rsid w:val="00E9620A"/>
    <w:rsid w:val="00E96F65"/>
    <w:rsid w:val="00E97901"/>
    <w:rsid w:val="00EA154D"/>
    <w:rsid w:val="00EA1FDA"/>
    <w:rsid w:val="00EA5972"/>
    <w:rsid w:val="00EA5BBB"/>
    <w:rsid w:val="00EA70F9"/>
    <w:rsid w:val="00EB10A7"/>
    <w:rsid w:val="00EB2328"/>
    <w:rsid w:val="00EB48A2"/>
    <w:rsid w:val="00EB6DE7"/>
    <w:rsid w:val="00EB71F5"/>
    <w:rsid w:val="00EC0474"/>
    <w:rsid w:val="00EC2DC1"/>
    <w:rsid w:val="00EC2F17"/>
    <w:rsid w:val="00EC3C73"/>
    <w:rsid w:val="00EC5AB6"/>
    <w:rsid w:val="00EC6890"/>
    <w:rsid w:val="00EC72A4"/>
    <w:rsid w:val="00ED36A1"/>
    <w:rsid w:val="00ED5D09"/>
    <w:rsid w:val="00ED694A"/>
    <w:rsid w:val="00ED76D9"/>
    <w:rsid w:val="00ED7932"/>
    <w:rsid w:val="00ED7E00"/>
    <w:rsid w:val="00EE33C4"/>
    <w:rsid w:val="00EE4722"/>
    <w:rsid w:val="00EE58FD"/>
    <w:rsid w:val="00EE6648"/>
    <w:rsid w:val="00EF243E"/>
    <w:rsid w:val="00EF4C89"/>
    <w:rsid w:val="00F0096A"/>
    <w:rsid w:val="00F03113"/>
    <w:rsid w:val="00F04463"/>
    <w:rsid w:val="00F046BE"/>
    <w:rsid w:val="00F05ECA"/>
    <w:rsid w:val="00F060A4"/>
    <w:rsid w:val="00F06124"/>
    <w:rsid w:val="00F06771"/>
    <w:rsid w:val="00F06F54"/>
    <w:rsid w:val="00F07523"/>
    <w:rsid w:val="00F07A84"/>
    <w:rsid w:val="00F127F3"/>
    <w:rsid w:val="00F1326E"/>
    <w:rsid w:val="00F155B4"/>
    <w:rsid w:val="00F155CD"/>
    <w:rsid w:val="00F15D39"/>
    <w:rsid w:val="00F16B10"/>
    <w:rsid w:val="00F1716F"/>
    <w:rsid w:val="00F22598"/>
    <w:rsid w:val="00F22EF5"/>
    <w:rsid w:val="00F231AB"/>
    <w:rsid w:val="00F24270"/>
    <w:rsid w:val="00F244A3"/>
    <w:rsid w:val="00F24BB1"/>
    <w:rsid w:val="00F27E2C"/>
    <w:rsid w:val="00F304EE"/>
    <w:rsid w:val="00F31887"/>
    <w:rsid w:val="00F32637"/>
    <w:rsid w:val="00F35671"/>
    <w:rsid w:val="00F37678"/>
    <w:rsid w:val="00F379F2"/>
    <w:rsid w:val="00F400C4"/>
    <w:rsid w:val="00F405D8"/>
    <w:rsid w:val="00F41E90"/>
    <w:rsid w:val="00F4710F"/>
    <w:rsid w:val="00F515D7"/>
    <w:rsid w:val="00F51D6A"/>
    <w:rsid w:val="00F53A81"/>
    <w:rsid w:val="00F55685"/>
    <w:rsid w:val="00F56377"/>
    <w:rsid w:val="00F571C2"/>
    <w:rsid w:val="00F57D8D"/>
    <w:rsid w:val="00F60E88"/>
    <w:rsid w:val="00F63E8B"/>
    <w:rsid w:val="00F725CC"/>
    <w:rsid w:val="00F7279B"/>
    <w:rsid w:val="00F73B29"/>
    <w:rsid w:val="00F73FF5"/>
    <w:rsid w:val="00F748B3"/>
    <w:rsid w:val="00F75459"/>
    <w:rsid w:val="00F757F6"/>
    <w:rsid w:val="00F823B7"/>
    <w:rsid w:val="00F82B69"/>
    <w:rsid w:val="00F86321"/>
    <w:rsid w:val="00F86D12"/>
    <w:rsid w:val="00F877B0"/>
    <w:rsid w:val="00F90A42"/>
    <w:rsid w:val="00F90CFD"/>
    <w:rsid w:val="00F91188"/>
    <w:rsid w:val="00F917F2"/>
    <w:rsid w:val="00F926BE"/>
    <w:rsid w:val="00F9304E"/>
    <w:rsid w:val="00F9546C"/>
    <w:rsid w:val="00F9587B"/>
    <w:rsid w:val="00F96CF9"/>
    <w:rsid w:val="00F9746F"/>
    <w:rsid w:val="00F974A1"/>
    <w:rsid w:val="00F97B72"/>
    <w:rsid w:val="00FA10A8"/>
    <w:rsid w:val="00FA1427"/>
    <w:rsid w:val="00FA391D"/>
    <w:rsid w:val="00FA45BA"/>
    <w:rsid w:val="00FA5296"/>
    <w:rsid w:val="00FB1F93"/>
    <w:rsid w:val="00FB48DF"/>
    <w:rsid w:val="00FB5972"/>
    <w:rsid w:val="00FB632F"/>
    <w:rsid w:val="00FC1B54"/>
    <w:rsid w:val="00FC3BAF"/>
    <w:rsid w:val="00FC57B6"/>
    <w:rsid w:val="00FC5824"/>
    <w:rsid w:val="00FC5AFE"/>
    <w:rsid w:val="00FC5D22"/>
    <w:rsid w:val="00FC600E"/>
    <w:rsid w:val="00FC7136"/>
    <w:rsid w:val="00FC73B5"/>
    <w:rsid w:val="00FD01BA"/>
    <w:rsid w:val="00FD0CA5"/>
    <w:rsid w:val="00FD4012"/>
    <w:rsid w:val="00FE20F3"/>
    <w:rsid w:val="00FE4903"/>
    <w:rsid w:val="00FE4D45"/>
    <w:rsid w:val="00FE5412"/>
    <w:rsid w:val="00FE6874"/>
    <w:rsid w:val="00FE71EC"/>
    <w:rsid w:val="00FE79FC"/>
    <w:rsid w:val="00FF0084"/>
    <w:rsid w:val="00FF094D"/>
    <w:rsid w:val="00FF4F25"/>
    <w:rsid w:val="00FF5A7C"/>
    <w:rsid w:val="00FF6B57"/>
    <w:rsid w:val="015B68D5"/>
    <w:rsid w:val="043C7163"/>
    <w:rsid w:val="0A4F3D4D"/>
    <w:rsid w:val="0B955A07"/>
    <w:rsid w:val="0D690788"/>
    <w:rsid w:val="0E573563"/>
    <w:rsid w:val="11A33303"/>
    <w:rsid w:val="1AA2463E"/>
    <w:rsid w:val="1E9A37E6"/>
    <w:rsid w:val="1F3B56AF"/>
    <w:rsid w:val="1F536DA3"/>
    <w:rsid w:val="24AE234C"/>
    <w:rsid w:val="25A07B9A"/>
    <w:rsid w:val="25AF3BF2"/>
    <w:rsid w:val="26F25901"/>
    <w:rsid w:val="293A0D98"/>
    <w:rsid w:val="2C047F28"/>
    <w:rsid w:val="2D371663"/>
    <w:rsid w:val="2E13286E"/>
    <w:rsid w:val="2EA8444B"/>
    <w:rsid w:val="30A77212"/>
    <w:rsid w:val="30CD2542"/>
    <w:rsid w:val="30FE454C"/>
    <w:rsid w:val="31472444"/>
    <w:rsid w:val="33BF7C54"/>
    <w:rsid w:val="33C0097F"/>
    <w:rsid w:val="35F46A31"/>
    <w:rsid w:val="38000566"/>
    <w:rsid w:val="386E7843"/>
    <w:rsid w:val="3AC52BE1"/>
    <w:rsid w:val="3C667146"/>
    <w:rsid w:val="3E4470D3"/>
    <w:rsid w:val="3FD4312A"/>
    <w:rsid w:val="40022408"/>
    <w:rsid w:val="41D022C2"/>
    <w:rsid w:val="41FA4BE1"/>
    <w:rsid w:val="45B4488E"/>
    <w:rsid w:val="470A29C8"/>
    <w:rsid w:val="4B80002C"/>
    <w:rsid w:val="4D496736"/>
    <w:rsid w:val="4EED1B77"/>
    <w:rsid w:val="503E643C"/>
    <w:rsid w:val="51290671"/>
    <w:rsid w:val="512D2701"/>
    <w:rsid w:val="518C7B78"/>
    <w:rsid w:val="51FA3EE2"/>
    <w:rsid w:val="52792F61"/>
    <w:rsid w:val="53D44967"/>
    <w:rsid w:val="545A4028"/>
    <w:rsid w:val="556D02A8"/>
    <w:rsid w:val="56FF6FF2"/>
    <w:rsid w:val="57183334"/>
    <w:rsid w:val="575C7293"/>
    <w:rsid w:val="58F00191"/>
    <w:rsid w:val="59C83D13"/>
    <w:rsid w:val="5B7D5946"/>
    <w:rsid w:val="5C287484"/>
    <w:rsid w:val="5C750DD9"/>
    <w:rsid w:val="5C8D061E"/>
    <w:rsid w:val="5F7F4260"/>
    <w:rsid w:val="64E514D5"/>
    <w:rsid w:val="663165D3"/>
    <w:rsid w:val="67306C0B"/>
    <w:rsid w:val="68A564D7"/>
    <w:rsid w:val="69AE3CC2"/>
    <w:rsid w:val="6B8925BD"/>
    <w:rsid w:val="6C872D02"/>
    <w:rsid w:val="6CBB132C"/>
    <w:rsid w:val="6EE726BB"/>
    <w:rsid w:val="71C6637D"/>
    <w:rsid w:val="72247670"/>
    <w:rsid w:val="79FB605A"/>
    <w:rsid w:val="7A8A7B32"/>
    <w:rsid w:val="7AA31C8E"/>
    <w:rsid w:val="7BDE2BD6"/>
    <w:rsid w:val="7D0E1DA5"/>
    <w:rsid w:val="7F266C80"/>
    <w:rsid w:val="7FC31B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Cambri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name="List Number 2"/>
    <w:lsdException w:qFormat="1" w:unhideWhenUsed="0"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name="Body Text First Indent 2"/>
    <w:lsdException w:uiPriority="0" w:name="Note Heading"/>
    <w:lsdException w:qFormat="1" w:uiPriority="99"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6"/>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57"/>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link w:val="58"/>
    <w:qFormat/>
    <w:uiPriority w:val="0"/>
    <w:pPr>
      <w:keepNext/>
      <w:keepLines/>
      <w:spacing w:before="260" w:after="260" w:line="412" w:lineRule="auto"/>
      <w:ind w:firstLine="49" w:firstLineChars="49"/>
      <w:outlineLvl w:val="2"/>
    </w:pPr>
    <w:rPr>
      <w:rFonts w:ascii="黑体" w:eastAsia="黑体"/>
      <w:sz w:val="28"/>
      <w:szCs w:val="20"/>
    </w:rPr>
  </w:style>
  <w:style w:type="paragraph" w:styleId="6">
    <w:name w:val="heading 4"/>
    <w:basedOn w:val="1"/>
    <w:next w:val="1"/>
    <w:link w:val="59"/>
    <w:qFormat/>
    <w:uiPriority w:val="9"/>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60"/>
    <w:unhideWhenUsed/>
    <w:qFormat/>
    <w:uiPriority w:val="9"/>
    <w:pPr>
      <w:keepNext/>
      <w:keepLines/>
      <w:spacing w:before="280" w:after="290" w:line="376" w:lineRule="auto"/>
      <w:outlineLvl w:val="4"/>
    </w:pPr>
    <w:rPr>
      <w:rFonts w:ascii="Times New Roman" w:hAnsi="Times New Roman"/>
      <w:b/>
      <w:bCs/>
      <w:sz w:val="28"/>
      <w:szCs w:val="28"/>
    </w:rPr>
  </w:style>
  <w:style w:type="paragraph" w:styleId="8">
    <w:name w:val="heading 6"/>
    <w:basedOn w:val="1"/>
    <w:next w:val="1"/>
    <w:link w:val="61"/>
    <w:qFormat/>
    <w:uiPriority w:val="9"/>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0"/>
    </w:rPr>
  </w:style>
  <w:style w:type="paragraph" w:styleId="9">
    <w:name w:val="heading 7"/>
    <w:basedOn w:val="1"/>
    <w:next w:val="1"/>
    <w:link w:val="62"/>
    <w:qFormat/>
    <w:uiPriority w:val="9"/>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10">
    <w:name w:val="heading 8"/>
    <w:basedOn w:val="1"/>
    <w:next w:val="1"/>
    <w:link w:val="63"/>
    <w:qFormat/>
    <w:uiPriority w:val="9"/>
    <w:pPr>
      <w:keepNext/>
      <w:keepLines/>
      <w:widowControl/>
      <w:tabs>
        <w:tab w:val="left" w:pos="1440"/>
      </w:tabs>
      <w:spacing w:before="240" w:after="64" w:line="319" w:lineRule="auto"/>
      <w:ind w:left="1440" w:hanging="1440"/>
      <w:jc w:val="left"/>
      <w:outlineLvl w:val="7"/>
    </w:pPr>
    <w:rPr>
      <w:rFonts w:ascii="Arial" w:hAnsi="Arial" w:eastAsia="黑体"/>
      <w:kern w:val="0"/>
      <w:sz w:val="24"/>
      <w:szCs w:val="20"/>
    </w:rPr>
  </w:style>
  <w:style w:type="paragraph" w:styleId="11">
    <w:name w:val="heading 9"/>
    <w:basedOn w:val="1"/>
    <w:next w:val="1"/>
    <w:link w:val="64"/>
    <w:qFormat/>
    <w:uiPriority w:val="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69"/>
    <w:unhideWhenUsed/>
    <w:qFormat/>
    <w:uiPriority w:val="0"/>
    <w:pPr>
      <w:spacing w:after="120"/>
    </w:pPr>
    <w:rPr>
      <w:rFonts w:ascii="Times New Roman" w:hAnsi="Times New Roman"/>
      <w:szCs w:val="20"/>
    </w:rPr>
  </w:style>
  <w:style w:type="paragraph" w:styleId="12">
    <w:name w:val="annotation subject"/>
    <w:basedOn w:val="13"/>
    <w:next w:val="13"/>
    <w:link w:val="78"/>
    <w:qFormat/>
    <w:uiPriority w:val="0"/>
  </w:style>
  <w:style w:type="paragraph" w:styleId="13">
    <w:name w:val="annotation text"/>
    <w:basedOn w:val="1"/>
    <w:link w:val="67"/>
    <w:qFormat/>
    <w:uiPriority w:val="0"/>
    <w:pPr>
      <w:jc w:val="left"/>
    </w:pPr>
    <w:rPr>
      <w:rFonts w:ascii="Times New Roman" w:hAnsi="Times New Roman"/>
      <w:szCs w:val="20"/>
    </w:rPr>
  </w:style>
  <w:style w:type="paragraph" w:styleId="14">
    <w:name w:val="toc 7"/>
    <w:basedOn w:val="1"/>
    <w:next w:val="1"/>
    <w:qFormat/>
    <w:uiPriority w:val="0"/>
    <w:pPr>
      <w:ind w:left="1200" w:leftChars="1200"/>
    </w:pPr>
  </w:style>
  <w:style w:type="paragraph" w:styleId="15">
    <w:name w:val="Body Text First Indent"/>
    <w:basedOn w:val="2"/>
    <w:link w:val="79"/>
    <w:qFormat/>
    <w:uiPriority w:val="0"/>
    <w:pPr>
      <w:spacing w:line="312" w:lineRule="auto"/>
      <w:ind w:firstLine="420"/>
    </w:pPr>
    <w:rPr>
      <w:szCs w:val="24"/>
    </w:rPr>
  </w:style>
  <w:style w:type="paragraph" w:styleId="16">
    <w:name w:val="List Number 2"/>
    <w:basedOn w:val="1"/>
    <w:semiHidden/>
    <w:qFormat/>
    <w:uiPriority w:val="0"/>
    <w:pPr>
      <w:tabs>
        <w:tab w:val="left" w:pos="780"/>
      </w:tabs>
      <w:ind w:left="780" w:leftChars="200" w:hanging="360" w:hangingChars="200"/>
    </w:pPr>
    <w:rPr>
      <w:rFonts w:ascii="Times New Roman" w:hAnsi="Times New Roman"/>
      <w:szCs w:val="24"/>
    </w:rPr>
  </w:style>
  <w:style w:type="paragraph" w:styleId="17">
    <w:name w:val="List Number"/>
    <w:basedOn w:val="1"/>
    <w:qFormat/>
    <w:uiPriority w:val="0"/>
    <w:pPr>
      <w:tabs>
        <w:tab w:val="left" w:pos="360"/>
      </w:tabs>
      <w:ind w:left="360" w:hanging="360" w:hangingChars="200"/>
    </w:pPr>
    <w:rPr>
      <w:rFonts w:ascii="Times New Roman" w:hAnsi="Times New Roman"/>
      <w:szCs w:val="24"/>
    </w:rPr>
  </w:style>
  <w:style w:type="paragraph" w:styleId="18">
    <w:name w:val="Normal Indent"/>
    <w:basedOn w:val="1"/>
    <w:link w:val="65"/>
    <w:qFormat/>
    <w:uiPriority w:val="0"/>
    <w:pPr>
      <w:ind w:firstLine="420"/>
    </w:pPr>
  </w:style>
  <w:style w:type="paragraph" w:styleId="19">
    <w:name w:val="caption"/>
    <w:basedOn w:val="1"/>
    <w:next w:val="1"/>
    <w:qFormat/>
    <w:uiPriority w:val="0"/>
    <w:rPr>
      <w:rFonts w:ascii="Arial" w:hAnsi="Arial" w:eastAsia="黑体" w:cs="Arial"/>
      <w:sz w:val="20"/>
      <w:szCs w:val="20"/>
    </w:rPr>
  </w:style>
  <w:style w:type="paragraph" w:styleId="20">
    <w:name w:val="Document Map"/>
    <w:basedOn w:val="1"/>
    <w:link w:val="66"/>
    <w:qFormat/>
    <w:uiPriority w:val="0"/>
    <w:rPr>
      <w:rFonts w:ascii="宋体" w:cs="宋体"/>
      <w:sz w:val="18"/>
      <w:szCs w:val="18"/>
    </w:rPr>
  </w:style>
  <w:style w:type="paragraph" w:styleId="21">
    <w:name w:val="Body Text 3"/>
    <w:basedOn w:val="1"/>
    <w:link w:val="68"/>
    <w:qFormat/>
    <w:uiPriority w:val="0"/>
    <w:rPr>
      <w:rFonts w:ascii="宋体"/>
      <w:sz w:val="24"/>
      <w:szCs w:val="20"/>
    </w:rPr>
  </w:style>
  <w:style w:type="paragraph" w:styleId="22">
    <w:name w:val="Body Text Indent"/>
    <w:basedOn w:val="1"/>
    <w:link w:val="70"/>
    <w:qFormat/>
    <w:uiPriority w:val="0"/>
    <w:pPr>
      <w:spacing w:after="120"/>
      <w:ind w:left="420" w:leftChars="200"/>
    </w:pPr>
    <w:rPr>
      <w:rFonts w:ascii="Times New Roman" w:hAnsi="Times New Roman"/>
      <w:szCs w:val="20"/>
    </w:rPr>
  </w:style>
  <w:style w:type="paragraph" w:styleId="23">
    <w:name w:val="List Number 3"/>
    <w:basedOn w:val="1"/>
    <w:semiHidden/>
    <w:qFormat/>
    <w:uiPriority w:val="0"/>
    <w:pPr>
      <w:tabs>
        <w:tab w:val="left" w:pos="1200"/>
      </w:tabs>
      <w:ind w:left="1200" w:leftChars="400" w:hanging="360" w:hangingChars="200"/>
    </w:pPr>
    <w:rPr>
      <w:rFonts w:ascii="Times New Roman" w:hAnsi="Times New Roman"/>
      <w:szCs w:val="24"/>
    </w:rPr>
  </w:style>
  <w:style w:type="paragraph" w:styleId="24">
    <w:name w:val="toc 5"/>
    <w:basedOn w:val="1"/>
    <w:next w:val="1"/>
    <w:qFormat/>
    <w:uiPriority w:val="0"/>
    <w:pPr>
      <w:ind w:left="800" w:leftChars="800"/>
    </w:pPr>
  </w:style>
  <w:style w:type="paragraph" w:styleId="25">
    <w:name w:val="toc 3"/>
    <w:basedOn w:val="1"/>
    <w:next w:val="1"/>
    <w:qFormat/>
    <w:uiPriority w:val="39"/>
    <w:pPr>
      <w:ind w:left="400" w:leftChars="400"/>
    </w:pPr>
  </w:style>
  <w:style w:type="paragraph" w:styleId="26">
    <w:name w:val="Plain Text"/>
    <w:basedOn w:val="1"/>
    <w:link w:val="71"/>
    <w:qFormat/>
    <w:uiPriority w:val="0"/>
    <w:rPr>
      <w:rFonts w:ascii="宋体"/>
    </w:rPr>
  </w:style>
  <w:style w:type="paragraph" w:styleId="27">
    <w:name w:val="toc 8"/>
    <w:basedOn w:val="1"/>
    <w:next w:val="1"/>
    <w:qFormat/>
    <w:uiPriority w:val="0"/>
    <w:pPr>
      <w:ind w:left="1400" w:leftChars="1400"/>
    </w:pPr>
  </w:style>
  <w:style w:type="paragraph" w:styleId="28">
    <w:name w:val="Date"/>
    <w:basedOn w:val="1"/>
    <w:next w:val="1"/>
    <w:link w:val="72"/>
    <w:qFormat/>
    <w:uiPriority w:val="0"/>
    <w:pPr>
      <w:ind w:left="2500" w:leftChars="2500"/>
    </w:pPr>
    <w:rPr>
      <w:rFonts w:ascii="Times New Roman" w:hAnsi="Times New Roman"/>
      <w:szCs w:val="20"/>
    </w:rPr>
  </w:style>
  <w:style w:type="paragraph" w:styleId="29">
    <w:name w:val="Balloon Text"/>
    <w:basedOn w:val="1"/>
    <w:link w:val="73"/>
    <w:qFormat/>
    <w:uiPriority w:val="0"/>
    <w:rPr>
      <w:rFonts w:ascii="Times New Roman" w:hAnsi="Times New Roman"/>
      <w:sz w:val="18"/>
      <w:szCs w:val="20"/>
    </w:rPr>
  </w:style>
  <w:style w:type="paragraph" w:styleId="30">
    <w:name w:val="footer"/>
    <w:basedOn w:val="1"/>
    <w:link w:val="74"/>
    <w:qFormat/>
    <w:uiPriority w:val="99"/>
    <w:pPr>
      <w:tabs>
        <w:tab w:val="center" w:pos="4153"/>
        <w:tab w:val="right" w:pos="8306"/>
      </w:tabs>
      <w:snapToGrid w:val="0"/>
      <w:jc w:val="left"/>
    </w:pPr>
    <w:rPr>
      <w:sz w:val="18"/>
    </w:rPr>
  </w:style>
  <w:style w:type="paragraph" w:styleId="31">
    <w:name w:val="Body Text First Indent 2"/>
    <w:basedOn w:val="22"/>
    <w:link w:val="108"/>
    <w:semiHidden/>
    <w:qFormat/>
    <w:uiPriority w:val="0"/>
    <w:pPr>
      <w:adjustRightInd w:val="0"/>
      <w:spacing w:after="0" w:line="360" w:lineRule="atLeast"/>
      <w:ind w:left="0" w:leftChars="0" w:firstLine="210"/>
      <w:jc w:val="left"/>
      <w:textAlignment w:val="baseline"/>
    </w:pPr>
    <w:rPr>
      <w:rFonts w:ascii="Arial" w:hAnsi="Arial" w:eastAsia="仿宋_GB2312"/>
      <w:kern w:val="0"/>
      <w:sz w:val="28"/>
      <w:szCs w:val="28"/>
    </w:rPr>
  </w:style>
  <w:style w:type="paragraph" w:styleId="32">
    <w:name w:val="header"/>
    <w:basedOn w:val="1"/>
    <w:link w:val="75"/>
    <w:qFormat/>
    <w:uiPriority w:val="0"/>
    <w:pPr>
      <w:tabs>
        <w:tab w:val="center" w:pos="4153"/>
        <w:tab w:val="right" w:pos="8306"/>
      </w:tabs>
      <w:snapToGrid w:val="0"/>
    </w:pPr>
    <w:rPr>
      <w:rFonts w:ascii="Times New Roman" w:hAnsi="Times New Roman"/>
      <w:sz w:val="18"/>
      <w:szCs w:val="20"/>
    </w:rPr>
  </w:style>
  <w:style w:type="paragraph" w:styleId="33">
    <w:name w:val="toc 1"/>
    <w:basedOn w:val="1"/>
    <w:next w:val="1"/>
    <w:qFormat/>
    <w:uiPriority w:val="39"/>
  </w:style>
  <w:style w:type="paragraph" w:styleId="34">
    <w:name w:val="toc 4"/>
    <w:basedOn w:val="1"/>
    <w:next w:val="1"/>
    <w:qFormat/>
    <w:uiPriority w:val="0"/>
    <w:pPr>
      <w:ind w:left="600" w:leftChars="600"/>
    </w:pPr>
  </w:style>
  <w:style w:type="paragraph" w:styleId="35">
    <w:name w:val="Subtitle"/>
    <w:basedOn w:val="1"/>
    <w:link w:val="109"/>
    <w:qFormat/>
    <w:uiPriority w:val="11"/>
    <w:pPr>
      <w:spacing w:after="60" w:line="360" w:lineRule="auto"/>
      <w:ind w:left="482" w:hanging="482"/>
      <w:jc w:val="center"/>
    </w:pPr>
    <w:rPr>
      <w:rFonts w:ascii="Arial" w:hAnsi="Arial"/>
      <w:i/>
      <w:kern w:val="0"/>
      <w:sz w:val="36"/>
      <w:szCs w:val="20"/>
      <w:lang w:val="en-AU"/>
    </w:rPr>
  </w:style>
  <w:style w:type="paragraph" w:styleId="36">
    <w:name w:val="List"/>
    <w:basedOn w:val="1"/>
    <w:qFormat/>
    <w:uiPriority w:val="0"/>
    <w:pPr>
      <w:autoSpaceDE w:val="0"/>
      <w:autoSpaceDN w:val="0"/>
      <w:adjustRightInd w:val="0"/>
      <w:ind w:left="360" w:hanging="360"/>
      <w:jc w:val="left"/>
      <w:textAlignment w:val="baseline"/>
    </w:pPr>
    <w:rPr>
      <w:rFonts w:ascii="Times New Roman" w:hAnsi="Times New Roman"/>
      <w:kern w:val="0"/>
      <w:sz w:val="20"/>
      <w:szCs w:val="20"/>
    </w:rPr>
  </w:style>
  <w:style w:type="paragraph" w:styleId="37">
    <w:name w:val="toc 6"/>
    <w:basedOn w:val="1"/>
    <w:next w:val="1"/>
    <w:qFormat/>
    <w:uiPriority w:val="0"/>
    <w:pPr>
      <w:ind w:left="1000" w:leftChars="1000"/>
    </w:pPr>
  </w:style>
  <w:style w:type="paragraph" w:styleId="38">
    <w:name w:val="Body Text Indent 3"/>
    <w:basedOn w:val="1"/>
    <w:link w:val="76"/>
    <w:qFormat/>
    <w:uiPriority w:val="0"/>
    <w:pPr>
      <w:spacing w:after="120"/>
      <w:ind w:left="200" w:leftChars="200"/>
    </w:pPr>
    <w:rPr>
      <w:sz w:val="16"/>
      <w:szCs w:val="16"/>
    </w:rPr>
  </w:style>
  <w:style w:type="paragraph" w:styleId="39">
    <w:name w:val="toc 2"/>
    <w:basedOn w:val="1"/>
    <w:next w:val="1"/>
    <w:qFormat/>
    <w:uiPriority w:val="39"/>
    <w:pPr>
      <w:ind w:left="200" w:leftChars="200"/>
    </w:pPr>
  </w:style>
  <w:style w:type="paragraph" w:styleId="40">
    <w:name w:val="toc 9"/>
    <w:basedOn w:val="1"/>
    <w:next w:val="1"/>
    <w:qFormat/>
    <w:uiPriority w:val="0"/>
    <w:pPr>
      <w:ind w:left="1600" w:leftChars="1600"/>
    </w:pPr>
  </w:style>
  <w:style w:type="paragraph" w:styleId="41">
    <w:name w:val="Body Text 2"/>
    <w:basedOn w:val="1"/>
    <w:link w:val="110"/>
    <w:semiHidden/>
    <w:unhideWhenUsed/>
    <w:qFormat/>
    <w:uiPriority w:val="99"/>
    <w:pPr>
      <w:spacing w:after="120" w:line="480" w:lineRule="auto"/>
      <w:ind w:left="482" w:hanging="482"/>
    </w:pPr>
    <w:rPr>
      <w:rFonts w:ascii="Times New Roman" w:hAnsi="Times New Roman"/>
      <w:kern w:val="0"/>
      <w:szCs w:val="20"/>
    </w:rPr>
  </w:style>
  <w:style w:type="paragraph" w:styleId="42">
    <w:name w:val="HTML Preformatted"/>
    <w:basedOn w:val="1"/>
    <w:link w:val="1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43">
    <w:name w:val="Normal (Web)"/>
    <w:basedOn w:val="1"/>
    <w:qFormat/>
    <w:uiPriority w:val="99"/>
    <w:pPr>
      <w:widowControl/>
      <w:spacing w:before="100" w:beforeAutospacing="1" w:after="100" w:afterAutospacing="1"/>
      <w:jc w:val="left"/>
    </w:pPr>
    <w:rPr>
      <w:rFonts w:ascii="宋体" w:hAnsi="宋体" w:cs="宋体"/>
      <w:color w:val="000000"/>
      <w:kern w:val="0"/>
      <w:sz w:val="24"/>
      <w:szCs w:val="20"/>
    </w:rPr>
  </w:style>
  <w:style w:type="paragraph" w:styleId="44">
    <w:name w:val="index 1"/>
    <w:basedOn w:val="1"/>
    <w:next w:val="1"/>
    <w:qFormat/>
    <w:uiPriority w:val="0"/>
    <w:pPr>
      <w:spacing w:line="220" w:lineRule="exact"/>
      <w:jc w:val="center"/>
    </w:pPr>
    <w:rPr>
      <w:rFonts w:ascii="仿宋_GB2312" w:hAnsi="Times New Roman" w:eastAsia="仿宋_GB2312"/>
      <w:szCs w:val="21"/>
    </w:rPr>
  </w:style>
  <w:style w:type="paragraph" w:styleId="45">
    <w:name w:val="Title"/>
    <w:basedOn w:val="1"/>
    <w:link w:val="77"/>
    <w:qFormat/>
    <w:uiPriority w:val="10"/>
    <w:pPr>
      <w:adjustRightInd w:val="0"/>
      <w:spacing w:before="240" w:after="60" w:line="420" w:lineRule="atLeast"/>
      <w:jc w:val="center"/>
      <w:textAlignment w:val="baseline"/>
      <w:outlineLvl w:val="0"/>
    </w:pPr>
    <w:rPr>
      <w:rFonts w:ascii="Arial" w:hAnsi="Arial"/>
      <w:b/>
      <w:kern w:val="0"/>
      <w:sz w:val="32"/>
      <w:szCs w:val="20"/>
    </w:rPr>
  </w:style>
  <w:style w:type="character" w:styleId="47">
    <w:name w:val="Strong"/>
    <w:qFormat/>
    <w:uiPriority w:val="0"/>
    <w:rPr>
      <w:b/>
      <w:bCs/>
    </w:rPr>
  </w:style>
  <w:style w:type="character" w:styleId="48">
    <w:name w:val="page number"/>
    <w:basedOn w:val="46"/>
    <w:qFormat/>
    <w:uiPriority w:val="0"/>
  </w:style>
  <w:style w:type="character" w:styleId="49">
    <w:name w:val="FollowedHyperlink"/>
    <w:basedOn w:val="46"/>
    <w:qFormat/>
    <w:uiPriority w:val="99"/>
    <w:rPr>
      <w:color w:val="800080"/>
      <w:u w:val="single"/>
    </w:rPr>
  </w:style>
  <w:style w:type="character" w:styleId="50">
    <w:name w:val="Emphasis"/>
    <w:qFormat/>
    <w:uiPriority w:val="20"/>
    <w:rPr>
      <w:i/>
      <w:iCs/>
    </w:rPr>
  </w:style>
  <w:style w:type="character" w:styleId="51">
    <w:name w:val="Hyperlink"/>
    <w:qFormat/>
    <w:uiPriority w:val="99"/>
    <w:rPr>
      <w:color w:val="0000FF"/>
      <w:u w:val="single"/>
    </w:rPr>
  </w:style>
  <w:style w:type="character" w:styleId="52">
    <w:name w:val="annotation reference"/>
    <w:qFormat/>
    <w:uiPriority w:val="0"/>
    <w:rPr>
      <w:sz w:val="21"/>
    </w:rPr>
  </w:style>
  <w:style w:type="character" w:styleId="53">
    <w:name w:val="footnote reference"/>
    <w:qFormat/>
    <w:uiPriority w:val="0"/>
    <w:rPr>
      <w:vertAlign w:val="superscript"/>
    </w:rPr>
  </w:style>
  <w:style w:type="table" w:styleId="55">
    <w:name w:val="Table Grid"/>
    <w:basedOn w:val="5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6">
    <w:name w:val="标题 1 Char"/>
    <w:basedOn w:val="46"/>
    <w:link w:val="3"/>
    <w:qFormat/>
    <w:uiPriority w:val="0"/>
    <w:rPr>
      <w:rFonts w:eastAsia="宋体"/>
      <w:b/>
      <w:kern w:val="44"/>
      <w:sz w:val="44"/>
    </w:rPr>
  </w:style>
  <w:style w:type="character" w:customStyle="1" w:styleId="57">
    <w:name w:val="标题 2 Char"/>
    <w:basedOn w:val="46"/>
    <w:link w:val="4"/>
    <w:qFormat/>
    <w:uiPriority w:val="0"/>
    <w:rPr>
      <w:rFonts w:ascii="Arial" w:hAnsi="Arial" w:eastAsia="黑体"/>
      <w:b/>
      <w:kern w:val="2"/>
      <w:sz w:val="32"/>
    </w:rPr>
  </w:style>
  <w:style w:type="character" w:customStyle="1" w:styleId="58">
    <w:name w:val="标题 3 Char"/>
    <w:basedOn w:val="46"/>
    <w:link w:val="5"/>
    <w:qFormat/>
    <w:uiPriority w:val="0"/>
    <w:rPr>
      <w:rFonts w:ascii="黑体" w:hAnsi="Calibri" w:eastAsia="黑体"/>
      <w:kern w:val="2"/>
      <w:sz w:val="28"/>
    </w:rPr>
  </w:style>
  <w:style w:type="character" w:customStyle="1" w:styleId="59">
    <w:name w:val="标题 4 Char"/>
    <w:basedOn w:val="46"/>
    <w:link w:val="6"/>
    <w:qFormat/>
    <w:uiPriority w:val="9"/>
    <w:rPr>
      <w:rFonts w:ascii="Arial" w:hAnsi="Arial" w:eastAsia="黑体"/>
      <w:b/>
      <w:bCs/>
      <w:kern w:val="2"/>
      <w:sz w:val="28"/>
      <w:szCs w:val="28"/>
    </w:rPr>
  </w:style>
  <w:style w:type="character" w:customStyle="1" w:styleId="60">
    <w:name w:val="标题 5 Char"/>
    <w:basedOn w:val="46"/>
    <w:link w:val="7"/>
    <w:qFormat/>
    <w:uiPriority w:val="9"/>
    <w:rPr>
      <w:rFonts w:eastAsia="宋体"/>
      <w:b/>
      <w:bCs/>
      <w:kern w:val="2"/>
      <w:sz w:val="28"/>
      <w:szCs w:val="28"/>
    </w:rPr>
  </w:style>
  <w:style w:type="character" w:customStyle="1" w:styleId="61">
    <w:name w:val="标题 6 Char"/>
    <w:basedOn w:val="46"/>
    <w:link w:val="8"/>
    <w:qFormat/>
    <w:uiPriority w:val="9"/>
    <w:rPr>
      <w:rFonts w:ascii="Arial" w:hAnsi="Arial" w:eastAsia="黑体"/>
      <w:b/>
      <w:bCs/>
      <w:sz w:val="24"/>
    </w:rPr>
  </w:style>
  <w:style w:type="character" w:customStyle="1" w:styleId="62">
    <w:name w:val="标题 7 Char"/>
    <w:basedOn w:val="46"/>
    <w:link w:val="9"/>
    <w:qFormat/>
    <w:uiPriority w:val="9"/>
    <w:rPr>
      <w:rFonts w:eastAsia="宋体"/>
      <w:b/>
      <w:bCs/>
      <w:sz w:val="24"/>
    </w:rPr>
  </w:style>
  <w:style w:type="character" w:customStyle="1" w:styleId="63">
    <w:name w:val="标题 8 Char"/>
    <w:basedOn w:val="46"/>
    <w:link w:val="10"/>
    <w:qFormat/>
    <w:uiPriority w:val="9"/>
    <w:rPr>
      <w:rFonts w:ascii="Arial" w:hAnsi="Arial" w:eastAsia="黑体"/>
      <w:sz w:val="24"/>
    </w:rPr>
  </w:style>
  <w:style w:type="character" w:customStyle="1" w:styleId="64">
    <w:name w:val="标题 9 Char"/>
    <w:basedOn w:val="46"/>
    <w:link w:val="11"/>
    <w:qFormat/>
    <w:uiPriority w:val="9"/>
    <w:rPr>
      <w:rFonts w:ascii="Arial" w:hAnsi="Arial" w:eastAsia="黑体"/>
      <w:sz w:val="21"/>
      <w:szCs w:val="21"/>
    </w:rPr>
  </w:style>
  <w:style w:type="character" w:customStyle="1" w:styleId="65">
    <w:name w:val="正文缩进 Char"/>
    <w:link w:val="18"/>
    <w:qFormat/>
    <w:uiPriority w:val="0"/>
    <w:rPr>
      <w:rFonts w:ascii="Calibri" w:hAnsi="Calibri" w:eastAsia="宋体"/>
      <w:kern w:val="2"/>
      <w:sz w:val="21"/>
      <w:szCs w:val="22"/>
    </w:rPr>
  </w:style>
  <w:style w:type="character" w:customStyle="1" w:styleId="66">
    <w:name w:val="文档结构图 Char"/>
    <w:link w:val="20"/>
    <w:qFormat/>
    <w:uiPriority w:val="0"/>
    <w:rPr>
      <w:rFonts w:ascii="宋体" w:hAnsi="Calibri" w:eastAsia="宋体" w:cs="宋体"/>
      <w:kern w:val="2"/>
      <w:sz w:val="18"/>
      <w:szCs w:val="18"/>
    </w:rPr>
  </w:style>
  <w:style w:type="character" w:customStyle="1" w:styleId="67">
    <w:name w:val="批注文字 Char"/>
    <w:basedOn w:val="46"/>
    <w:link w:val="13"/>
    <w:qFormat/>
    <w:uiPriority w:val="0"/>
    <w:rPr>
      <w:rFonts w:eastAsia="宋体"/>
      <w:kern w:val="2"/>
      <w:sz w:val="21"/>
    </w:rPr>
  </w:style>
  <w:style w:type="character" w:customStyle="1" w:styleId="68">
    <w:name w:val="正文文本 3 Char"/>
    <w:basedOn w:val="46"/>
    <w:link w:val="21"/>
    <w:qFormat/>
    <w:uiPriority w:val="0"/>
    <w:rPr>
      <w:rFonts w:ascii="宋体" w:hAnsi="Calibri" w:eastAsia="宋体"/>
      <w:kern w:val="2"/>
      <w:sz w:val="24"/>
    </w:rPr>
  </w:style>
  <w:style w:type="character" w:customStyle="1" w:styleId="69">
    <w:name w:val="正文文本 Char1"/>
    <w:basedOn w:val="46"/>
    <w:link w:val="2"/>
    <w:qFormat/>
    <w:uiPriority w:val="0"/>
    <w:rPr>
      <w:rFonts w:eastAsia="宋体"/>
      <w:kern w:val="2"/>
      <w:sz w:val="21"/>
    </w:rPr>
  </w:style>
  <w:style w:type="character" w:customStyle="1" w:styleId="70">
    <w:name w:val="正文文本缩进 Char"/>
    <w:basedOn w:val="46"/>
    <w:link w:val="22"/>
    <w:qFormat/>
    <w:uiPriority w:val="0"/>
    <w:rPr>
      <w:rFonts w:eastAsia="宋体"/>
      <w:kern w:val="2"/>
      <w:sz w:val="21"/>
    </w:rPr>
  </w:style>
  <w:style w:type="character" w:customStyle="1" w:styleId="71">
    <w:name w:val="纯文本 Char"/>
    <w:basedOn w:val="46"/>
    <w:link w:val="26"/>
    <w:qFormat/>
    <w:uiPriority w:val="0"/>
    <w:rPr>
      <w:rFonts w:ascii="宋体" w:hAnsi="Calibri" w:eastAsia="宋体"/>
      <w:kern w:val="2"/>
      <w:sz w:val="21"/>
      <w:szCs w:val="22"/>
    </w:rPr>
  </w:style>
  <w:style w:type="character" w:customStyle="1" w:styleId="72">
    <w:name w:val="日期 Char"/>
    <w:link w:val="28"/>
    <w:qFormat/>
    <w:uiPriority w:val="99"/>
    <w:rPr>
      <w:rFonts w:eastAsia="宋体"/>
      <w:kern w:val="2"/>
      <w:sz w:val="21"/>
    </w:rPr>
  </w:style>
  <w:style w:type="character" w:customStyle="1" w:styleId="73">
    <w:name w:val="批注框文本 Char"/>
    <w:link w:val="29"/>
    <w:qFormat/>
    <w:uiPriority w:val="99"/>
    <w:rPr>
      <w:rFonts w:eastAsia="宋体"/>
      <w:kern w:val="2"/>
      <w:sz w:val="18"/>
    </w:rPr>
  </w:style>
  <w:style w:type="character" w:customStyle="1" w:styleId="74">
    <w:name w:val="页脚 Char"/>
    <w:link w:val="30"/>
    <w:qFormat/>
    <w:uiPriority w:val="99"/>
    <w:rPr>
      <w:rFonts w:ascii="Calibri" w:hAnsi="Calibri" w:eastAsia="宋体"/>
      <w:kern w:val="2"/>
      <w:sz w:val="18"/>
      <w:szCs w:val="22"/>
    </w:rPr>
  </w:style>
  <w:style w:type="character" w:customStyle="1" w:styleId="75">
    <w:name w:val="页眉 Char"/>
    <w:link w:val="32"/>
    <w:qFormat/>
    <w:uiPriority w:val="99"/>
    <w:rPr>
      <w:rFonts w:eastAsia="宋体"/>
      <w:kern w:val="2"/>
      <w:sz w:val="18"/>
    </w:rPr>
  </w:style>
  <w:style w:type="character" w:customStyle="1" w:styleId="76">
    <w:name w:val="正文文本缩进 3 Char"/>
    <w:basedOn w:val="46"/>
    <w:link w:val="38"/>
    <w:qFormat/>
    <w:uiPriority w:val="0"/>
    <w:rPr>
      <w:rFonts w:ascii="Calibri" w:hAnsi="Calibri" w:eastAsia="宋体"/>
      <w:kern w:val="2"/>
      <w:sz w:val="16"/>
      <w:szCs w:val="16"/>
    </w:rPr>
  </w:style>
  <w:style w:type="character" w:customStyle="1" w:styleId="77">
    <w:name w:val="标题 Char"/>
    <w:basedOn w:val="46"/>
    <w:link w:val="45"/>
    <w:qFormat/>
    <w:uiPriority w:val="10"/>
    <w:rPr>
      <w:rFonts w:ascii="Arial" w:hAnsi="Arial" w:eastAsia="宋体"/>
      <w:b/>
      <w:sz w:val="32"/>
    </w:rPr>
  </w:style>
  <w:style w:type="character" w:customStyle="1" w:styleId="78">
    <w:name w:val="批注主题 Char"/>
    <w:link w:val="12"/>
    <w:qFormat/>
    <w:uiPriority w:val="99"/>
    <w:rPr>
      <w:rFonts w:eastAsia="宋体"/>
      <w:kern w:val="2"/>
      <w:sz w:val="21"/>
    </w:rPr>
  </w:style>
  <w:style w:type="character" w:customStyle="1" w:styleId="79">
    <w:name w:val="正文首行缩进 Char"/>
    <w:basedOn w:val="80"/>
    <w:link w:val="15"/>
    <w:qFormat/>
    <w:uiPriority w:val="0"/>
    <w:rPr>
      <w:rFonts w:eastAsia="宋体"/>
      <w:kern w:val="2"/>
      <w:sz w:val="21"/>
      <w:szCs w:val="24"/>
      <w:lang w:val="en-US" w:eastAsia="zh-CN" w:bidi="ar-SA"/>
    </w:rPr>
  </w:style>
  <w:style w:type="character" w:customStyle="1" w:styleId="80">
    <w:name w:val="正文文本 Char"/>
    <w:qFormat/>
    <w:uiPriority w:val="0"/>
    <w:rPr>
      <w:rFonts w:eastAsia="宋体"/>
      <w:kern w:val="2"/>
      <w:sz w:val="21"/>
      <w:szCs w:val="24"/>
      <w:lang w:val="en-US" w:eastAsia="zh-CN" w:bidi="ar-SA"/>
    </w:rPr>
  </w:style>
  <w:style w:type="character" w:customStyle="1" w:styleId="81">
    <w:name w:val="style_kwd"/>
    <w:basedOn w:val="46"/>
    <w:qFormat/>
    <w:uiPriority w:val="0"/>
  </w:style>
  <w:style w:type="character" w:customStyle="1" w:styleId="82">
    <w:name w:val="批注文字 Char1"/>
    <w:qFormat/>
    <w:uiPriority w:val="0"/>
    <w:rPr>
      <w:rFonts w:ascii="Times New Roman" w:hAnsi="Times New Roman" w:eastAsia="宋体" w:cs="Times New Roman"/>
      <w:sz w:val="20"/>
      <w:szCs w:val="20"/>
      <w:lang w:bidi="ar-SA"/>
    </w:rPr>
  </w:style>
  <w:style w:type="character" w:customStyle="1" w:styleId="83">
    <w:name w:val="Comment Text Char"/>
    <w:qFormat/>
    <w:uiPriority w:val="0"/>
  </w:style>
  <w:style w:type="paragraph" w:customStyle="1" w:styleId="84">
    <w:name w:val="修订1"/>
    <w:qFormat/>
    <w:uiPriority w:val="0"/>
    <w:rPr>
      <w:rFonts w:ascii="Times New Roman" w:hAnsi="Times New Roman" w:eastAsia="宋体" w:cs="Times New Roman"/>
      <w:kern w:val="2"/>
      <w:sz w:val="21"/>
      <w:lang w:val="en-US" w:eastAsia="zh-CN" w:bidi="ar-SA"/>
    </w:rPr>
  </w:style>
  <w:style w:type="paragraph" w:customStyle="1" w:styleId="85">
    <w:name w:val="_Style 23"/>
    <w:basedOn w:val="1"/>
    <w:qFormat/>
    <w:uiPriority w:val="0"/>
    <w:pPr>
      <w:widowControl/>
      <w:spacing w:after="160" w:line="240" w:lineRule="exact"/>
      <w:jc w:val="left"/>
    </w:pPr>
  </w:style>
  <w:style w:type="paragraph" w:customStyle="1" w:styleId="86">
    <w:name w:val="TOC 标题1"/>
    <w:basedOn w:val="3"/>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87">
    <w:name w:val="font161"/>
    <w:qFormat/>
    <w:uiPriority w:val="0"/>
    <w:rPr>
      <w:b/>
      <w:bCs/>
      <w:sz w:val="32"/>
      <w:szCs w:val="32"/>
    </w:rPr>
  </w:style>
  <w:style w:type="paragraph" w:customStyle="1" w:styleId="88">
    <w:name w:val="表格文字"/>
    <w:basedOn w:val="1"/>
    <w:link w:val="89"/>
    <w:qFormat/>
    <w:uiPriority w:val="0"/>
    <w:pPr>
      <w:adjustRightInd w:val="0"/>
      <w:spacing w:line="420" w:lineRule="atLeast"/>
      <w:jc w:val="left"/>
      <w:textAlignment w:val="baseline"/>
    </w:pPr>
    <w:rPr>
      <w:rFonts w:ascii="Times New Roman" w:hAnsi="Times New Roman"/>
      <w:kern w:val="0"/>
      <w:szCs w:val="20"/>
    </w:rPr>
  </w:style>
  <w:style w:type="character" w:customStyle="1" w:styleId="89">
    <w:name w:val="表格文字 Char"/>
    <w:basedOn w:val="46"/>
    <w:link w:val="88"/>
    <w:qFormat/>
    <w:uiPriority w:val="2"/>
    <w:rPr>
      <w:rFonts w:eastAsia="宋体"/>
      <w:sz w:val="21"/>
    </w:rPr>
  </w:style>
  <w:style w:type="paragraph" w:customStyle="1" w:styleId="90">
    <w:name w:val="Char"/>
    <w:basedOn w:val="1"/>
    <w:qFormat/>
    <w:uiPriority w:val="0"/>
    <w:pPr>
      <w:widowControl/>
      <w:spacing w:after="160" w:line="240" w:lineRule="exact"/>
      <w:jc w:val="left"/>
    </w:pPr>
    <w:rPr>
      <w:rFonts w:ascii="Verdana" w:hAnsi="Verdana"/>
      <w:kern w:val="0"/>
      <w:sz w:val="20"/>
      <w:szCs w:val="20"/>
      <w:lang w:eastAsia="en-US"/>
    </w:rPr>
  </w:style>
  <w:style w:type="paragraph" w:styleId="91">
    <w:name w:val="List Paragraph"/>
    <w:basedOn w:val="1"/>
    <w:link w:val="92"/>
    <w:qFormat/>
    <w:uiPriority w:val="34"/>
    <w:pPr>
      <w:ind w:firstLine="420" w:firstLineChars="200"/>
    </w:pPr>
  </w:style>
  <w:style w:type="character" w:customStyle="1" w:styleId="92">
    <w:name w:val="列出段落 Char"/>
    <w:link w:val="91"/>
    <w:qFormat/>
    <w:uiPriority w:val="34"/>
    <w:rPr>
      <w:rFonts w:ascii="Calibri" w:hAnsi="Calibri" w:eastAsia="宋体"/>
      <w:kern w:val="2"/>
      <w:sz w:val="21"/>
      <w:szCs w:val="22"/>
    </w:rPr>
  </w:style>
  <w:style w:type="character" w:customStyle="1" w:styleId="93">
    <w:name w:val="正文首行缩进 Char1"/>
    <w:basedOn w:val="69"/>
    <w:qFormat/>
    <w:uiPriority w:val="99"/>
    <w:rPr>
      <w:rFonts w:eastAsia="宋体"/>
      <w:kern w:val="2"/>
      <w:sz w:val="21"/>
    </w:rPr>
  </w:style>
  <w:style w:type="paragraph" w:customStyle="1" w:styleId="94">
    <w:name w:val="我的正文"/>
    <w:basedOn w:val="1"/>
    <w:qFormat/>
    <w:uiPriority w:val="0"/>
    <w:rPr>
      <w:rFonts w:ascii="宋体" w:hAnsi="宋体"/>
      <w:sz w:val="24"/>
      <w:szCs w:val="24"/>
    </w:rPr>
  </w:style>
  <w:style w:type="paragraph" w:customStyle="1" w:styleId="9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rPr>
  </w:style>
  <w:style w:type="paragraph" w:customStyle="1" w:styleId="96">
    <w:name w:val="样式2"/>
    <w:basedOn w:val="5"/>
    <w:qFormat/>
    <w:uiPriority w:val="0"/>
    <w:pPr>
      <w:spacing w:line="415" w:lineRule="auto"/>
      <w:ind w:firstLine="137"/>
    </w:pPr>
    <w:rPr>
      <w:rFonts w:hAnsi="Times New Roman"/>
      <w:bCs/>
      <w:i/>
      <w:szCs w:val="28"/>
    </w:rPr>
  </w:style>
  <w:style w:type="paragraph" w:customStyle="1" w:styleId="97">
    <w:name w:val="Char1"/>
    <w:basedOn w:val="1"/>
    <w:qFormat/>
    <w:uiPriority w:val="0"/>
    <w:pPr>
      <w:tabs>
        <w:tab w:val="left" w:pos="360"/>
      </w:tabs>
    </w:pPr>
    <w:rPr>
      <w:rFonts w:ascii="Times New Roman" w:hAnsi="Times New Roman"/>
      <w:sz w:val="24"/>
      <w:szCs w:val="20"/>
    </w:rPr>
  </w:style>
  <w:style w:type="paragraph" w:customStyle="1" w:styleId="98">
    <w:name w:val="修订11"/>
    <w:qFormat/>
    <w:uiPriority w:val="99"/>
    <w:rPr>
      <w:rFonts w:ascii="Times New Roman" w:hAnsi="Times New Roman" w:eastAsia="宋体" w:cs="Times New Roman"/>
      <w:kern w:val="2"/>
      <w:sz w:val="21"/>
      <w:szCs w:val="24"/>
      <w:lang w:val="en-US" w:eastAsia="zh-CN" w:bidi="ar-SA"/>
    </w:rPr>
  </w:style>
  <w:style w:type="paragraph" w:customStyle="1" w:styleId="99">
    <w:name w:val="样式1"/>
    <w:basedOn w:val="1"/>
    <w:next w:val="6"/>
    <w:qFormat/>
    <w:uiPriority w:val="0"/>
    <w:pPr>
      <w:spacing w:line="360" w:lineRule="auto"/>
      <w:ind w:firstLine="420" w:firstLineChars="200"/>
    </w:pPr>
    <w:rPr>
      <w:rFonts w:ascii="宋体" w:hAnsi="宋体"/>
      <w:szCs w:val="21"/>
    </w:rPr>
  </w:style>
  <w:style w:type="paragraph" w:customStyle="1" w:styleId="100">
    <w:name w:val="6'"/>
    <w:basedOn w:val="1"/>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101">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sz w:val="32"/>
    </w:rPr>
  </w:style>
  <w:style w:type="paragraph" w:customStyle="1" w:styleId="102">
    <w:name w:val="样式 标题 3 + (中文) 黑体 小四 非加粗 段前: 7.8 磅 段后: 0 磅 行距: 固定值 20 磅"/>
    <w:basedOn w:val="5"/>
    <w:qFormat/>
    <w:uiPriority w:val="0"/>
    <w:pPr>
      <w:spacing w:before="0" w:after="0" w:line="400" w:lineRule="exact"/>
      <w:ind w:firstLine="137"/>
    </w:pPr>
    <w:rPr>
      <w:rFonts w:hAnsi="Times New Roman" w:cs="宋体"/>
      <w:sz w:val="24"/>
    </w:rPr>
  </w:style>
  <w:style w:type="paragraph" w:customStyle="1" w:styleId="103">
    <w:name w:val="1"/>
    <w:basedOn w:val="1"/>
    <w:qFormat/>
    <w:uiPriority w:val="0"/>
    <w:rPr>
      <w:rFonts w:ascii="Times New Roman" w:hAnsi="Times New Roman"/>
      <w:szCs w:val="20"/>
    </w:rPr>
  </w:style>
  <w:style w:type="paragraph" w:customStyle="1" w:styleId="104">
    <w:name w:val="表格"/>
    <w:basedOn w:val="1"/>
    <w:qFormat/>
    <w:uiPriority w:val="0"/>
    <w:pPr>
      <w:jc w:val="center"/>
      <w:textAlignment w:val="center"/>
    </w:pPr>
    <w:rPr>
      <w:rFonts w:ascii="华文细黑" w:hAnsi="华文细黑"/>
      <w:kern w:val="0"/>
      <w:szCs w:val="20"/>
    </w:rPr>
  </w:style>
  <w:style w:type="paragraph" w:customStyle="1" w:styleId="105">
    <w:name w:val="修订2"/>
    <w:qFormat/>
    <w:uiPriority w:val="0"/>
    <w:rPr>
      <w:rFonts w:ascii="Times New Roman" w:hAnsi="Times New Roman" w:eastAsia="宋体" w:cs="Times New Roman"/>
      <w:kern w:val="2"/>
      <w:sz w:val="21"/>
      <w:szCs w:val="24"/>
      <w:lang w:val="en-US" w:eastAsia="zh-CN" w:bidi="ar-SA"/>
    </w:rPr>
  </w:style>
  <w:style w:type="paragraph" w:customStyle="1" w:styleId="106">
    <w:name w:val="标准文件_正文表标题"/>
    <w:next w:val="1"/>
    <w:qFormat/>
    <w:uiPriority w:val="0"/>
    <w:pPr>
      <w:numPr>
        <w:ilvl w:val="0"/>
        <w:numId w:val="1"/>
      </w:numPr>
      <w:tabs>
        <w:tab w:val="left" w:pos="0"/>
      </w:tabs>
      <w:spacing w:line="360" w:lineRule="auto"/>
      <w:jc w:val="center"/>
    </w:pPr>
    <w:rPr>
      <w:rFonts w:ascii="Times New Roman" w:hAnsi="Times New Roman" w:eastAsia="宋体" w:cs="Arial"/>
      <w:sz w:val="24"/>
      <w:szCs w:val="64"/>
      <w:lang w:val="en-US" w:eastAsia="zh-CN" w:bidi="ar-SA"/>
    </w:rPr>
  </w:style>
  <w:style w:type="paragraph" w:customStyle="1" w:styleId="107">
    <w:name w:val="修订3"/>
    <w:hidden/>
    <w:unhideWhenUsed/>
    <w:qFormat/>
    <w:uiPriority w:val="99"/>
    <w:rPr>
      <w:rFonts w:ascii="Calibri" w:hAnsi="Calibri" w:eastAsia="宋体" w:cs="Times New Roman"/>
      <w:kern w:val="2"/>
      <w:sz w:val="21"/>
      <w:szCs w:val="22"/>
      <w:lang w:val="en-US" w:eastAsia="zh-CN" w:bidi="ar-SA"/>
    </w:rPr>
  </w:style>
  <w:style w:type="character" w:customStyle="1" w:styleId="108">
    <w:name w:val="正文首行缩进 2 Char"/>
    <w:basedOn w:val="70"/>
    <w:link w:val="31"/>
    <w:semiHidden/>
    <w:qFormat/>
    <w:uiPriority w:val="0"/>
    <w:rPr>
      <w:rFonts w:ascii="Arial" w:hAnsi="Arial" w:eastAsia="仿宋_GB2312"/>
      <w:kern w:val="2"/>
      <w:sz w:val="28"/>
      <w:szCs w:val="28"/>
    </w:rPr>
  </w:style>
  <w:style w:type="character" w:customStyle="1" w:styleId="109">
    <w:name w:val="副标题 Char"/>
    <w:basedOn w:val="46"/>
    <w:link w:val="35"/>
    <w:qFormat/>
    <w:uiPriority w:val="11"/>
    <w:rPr>
      <w:rFonts w:ascii="Arial" w:hAnsi="Arial" w:eastAsia="宋体"/>
      <w:i/>
      <w:sz w:val="36"/>
      <w:lang w:val="en-AU"/>
    </w:rPr>
  </w:style>
  <w:style w:type="character" w:customStyle="1" w:styleId="110">
    <w:name w:val="正文文本 2 Char"/>
    <w:basedOn w:val="46"/>
    <w:link w:val="41"/>
    <w:semiHidden/>
    <w:qFormat/>
    <w:uiPriority w:val="99"/>
    <w:rPr>
      <w:rFonts w:eastAsia="宋体"/>
      <w:sz w:val="21"/>
    </w:rPr>
  </w:style>
  <w:style w:type="character" w:customStyle="1" w:styleId="111">
    <w:name w:val="HTML 预设格式 Char"/>
    <w:basedOn w:val="46"/>
    <w:link w:val="42"/>
    <w:qFormat/>
    <w:uiPriority w:val="0"/>
    <w:rPr>
      <w:rFonts w:ascii="Arial" w:hAnsi="Arial" w:eastAsia="宋体" w:cs="Arial"/>
      <w:sz w:val="24"/>
      <w:szCs w:val="24"/>
    </w:rPr>
  </w:style>
  <w:style w:type="character" w:customStyle="1" w:styleId="112">
    <w:name w:val="CharAttribute14"/>
    <w:qFormat/>
    <w:uiPriority w:val="0"/>
    <w:rPr>
      <w:rFonts w:ascii="宋体" w:eastAsia="宋体"/>
      <w:sz w:val="21"/>
    </w:rPr>
  </w:style>
  <w:style w:type="paragraph" w:customStyle="1" w:styleId="113">
    <w:name w:val="ParaAttribute1"/>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jc w:val="both"/>
    </w:pPr>
    <w:rPr>
      <w:rFonts w:ascii="Times New Roman" w:hAnsi="Times New Roman" w:eastAsia="宋体" w:cs="Times New Roman"/>
      <w:lang w:val="en-US" w:eastAsia="zh-CN" w:bidi="ar-SA"/>
    </w:rPr>
  </w:style>
  <w:style w:type="paragraph" w:customStyle="1" w:styleId="114">
    <w:name w:val="ParaAttribute0"/>
    <w:qFormat/>
    <w:uiPriority w:val="0"/>
    <w:pPr>
      <w:widowControl w:val="0"/>
      <w:wordWrap w:val="0"/>
      <w:jc w:val="center"/>
    </w:pPr>
    <w:rPr>
      <w:rFonts w:ascii="Times New Roman" w:hAnsi="Times New Roman" w:eastAsia="宋体" w:cs="Times New Roman"/>
      <w:lang w:val="en-US" w:eastAsia="zh-CN" w:bidi="ar-SA"/>
    </w:rPr>
  </w:style>
  <w:style w:type="paragraph" w:customStyle="1" w:styleId="115">
    <w:name w:val="ParaAttribute2"/>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ind w:firstLine="480"/>
      <w:jc w:val="both"/>
    </w:pPr>
    <w:rPr>
      <w:rFonts w:ascii="Times New Roman" w:hAnsi="Times New Roman" w:eastAsia="宋体" w:cs="Times New Roman"/>
      <w:lang w:val="en-US" w:eastAsia="zh-CN" w:bidi="ar-SA"/>
    </w:rPr>
  </w:style>
  <w:style w:type="character" w:customStyle="1" w:styleId="116">
    <w:name w:val="CharAttribute0"/>
    <w:qFormat/>
    <w:uiPriority w:val="0"/>
    <w:rPr>
      <w:rFonts w:ascii="黑体" w:eastAsia="黑体"/>
      <w:sz w:val="28"/>
    </w:rPr>
  </w:style>
  <w:style w:type="character" w:customStyle="1" w:styleId="117">
    <w:name w:val="CharAttribute9"/>
    <w:qFormat/>
    <w:uiPriority w:val="0"/>
    <w:rPr>
      <w:rFonts w:ascii="黑体" w:eastAsia="黑体"/>
      <w:sz w:val="24"/>
    </w:rPr>
  </w:style>
  <w:style w:type="character" w:customStyle="1" w:styleId="118">
    <w:name w:val="CharAttribute10"/>
    <w:qFormat/>
    <w:uiPriority w:val="0"/>
    <w:rPr>
      <w:rFonts w:ascii="Arial" w:eastAsia="Arial"/>
      <w:sz w:val="24"/>
    </w:rPr>
  </w:style>
  <w:style w:type="paragraph" w:customStyle="1" w:styleId="119">
    <w:name w:val="样式4"/>
    <w:basedOn w:val="1"/>
    <w:qFormat/>
    <w:uiPriority w:val="0"/>
    <w:pPr>
      <w:widowControl/>
      <w:snapToGrid w:val="0"/>
      <w:spacing w:line="360" w:lineRule="auto"/>
      <w:ind w:right="-55" w:rightChars="-26"/>
    </w:pPr>
    <w:rPr>
      <w:rFonts w:ascii="Arial" w:hAnsi="Arial" w:eastAsia="仿宋_GB2312" w:cs="Arial"/>
      <w:snapToGrid w:val="0"/>
      <w:kern w:val="0"/>
      <w:sz w:val="24"/>
      <w:szCs w:val="20"/>
    </w:rPr>
  </w:style>
  <w:style w:type="paragraph" w:customStyle="1" w:styleId="120">
    <w:name w:val="Char Char Char Char Char Char"/>
    <w:basedOn w:val="20"/>
    <w:qFormat/>
    <w:uiPriority w:val="0"/>
    <w:pPr>
      <w:shd w:val="clear" w:color="auto" w:fill="000080"/>
      <w:adjustRightInd w:val="0"/>
      <w:spacing w:line="436" w:lineRule="exact"/>
      <w:ind w:left="357"/>
      <w:jc w:val="left"/>
      <w:outlineLvl w:val="3"/>
    </w:pPr>
    <w:rPr>
      <w:rFonts w:ascii="Tahoma" w:hAnsi="Tahoma" w:cs="Times New Roman"/>
      <w:b/>
      <w:sz w:val="24"/>
      <w:szCs w:val="24"/>
    </w:rPr>
  </w:style>
  <w:style w:type="character" w:customStyle="1" w:styleId="121">
    <w:name w:val="Char Char2"/>
    <w:basedOn w:val="46"/>
    <w:qFormat/>
    <w:uiPriority w:val="0"/>
    <w:rPr>
      <w:rFonts w:ascii="Arial" w:hAnsi="Arial" w:eastAsia="黑体"/>
      <w:b/>
      <w:bCs/>
      <w:kern w:val="2"/>
      <w:sz w:val="32"/>
      <w:szCs w:val="32"/>
      <w:lang w:val="en-US" w:eastAsia="zh-CN" w:bidi="ar-SA"/>
    </w:rPr>
  </w:style>
  <w:style w:type="character" w:customStyle="1" w:styleId="122">
    <w:name w:val="Char Char1"/>
    <w:basedOn w:val="46"/>
    <w:qFormat/>
    <w:uiPriority w:val="0"/>
    <w:rPr>
      <w:rFonts w:ascii="宋体"/>
      <w:kern w:val="2"/>
      <w:sz w:val="24"/>
    </w:rPr>
  </w:style>
  <w:style w:type="character" w:customStyle="1" w:styleId="123">
    <w:name w:val="Char Char"/>
    <w:basedOn w:val="46"/>
    <w:qFormat/>
    <w:uiPriority w:val="0"/>
    <w:rPr>
      <w:rFonts w:ascii="宋体"/>
      <w:kern w:val="2"/>
      <w:sz w:val="18"/>
      <w:szCs w:val="18"/>
    </w:rPr>
  </w:style>
  <w:style w:type="paragraph" w:customStyle="1" w:styleId="124">
    <w:name w:val="默认段落字体 Para Char Char Char Char Char Char Char"/>
    <w:basedOn w:val="1"/>
    <w:qFormat/>
    <w:uiPriority w:val="0"/>
    <w:pPr>
      <w:tabs>
        <w:tab w:val="left" w:pos="4665"/>
        <w:tab w:val="left" w:pos="8970"/>
      </w:tabs>
      <w:ind w:firstLine="400"/>
    </w:pPr>
    <w:rPr>
      <w:rFonts w:ascii="Tahoma" w:hAnsi="Tahoma"/>
      <w:sz w:val="24"/>
      <w:szCs w:val="20"/>
    </w:rPr>
  </w:style>
  <w:style w:type="paragraph" w:customStyle="1" w:styleId="125">
    <w:name w:val="样式5"/>
    <w:basedOn w:val="1"/>
    <w:qFormat/>
    <w:uiPriority w:val="0"/>
    <w:pPr>
      <w:snapToGrid w:val="0"/>
      <w:spacing w:beforeLines="50" w:afterLines="50"/>
      <w:jc w:val="center"/>
    </w:pPr>
    <w:rPr>
      <w:rFonts w:ascii="黑体" w:hAnsi="Arial" w:eastAsia="黑体" w:cs="Arial"/>
      <w:snapToGrid w:val="0"/>
      <w:kern w:val="0"/>
      <w:sz w:val="24"/>
      <w:szCs w:val="24"/>
    </w:rPr>
  </w:style>
  <w:style w:type="paragraph" w:customStyle="1" w:styleId="126">
    <w:name w:val="样式6"/>
    <w:basedOn w:val="1"/>
    <w:qFormat/>
    <w:uiPriority w:val="0"/>
    <w:pPr>
      <w:snapToGrid w:val="0"/>
      <w:spacing w:beforeLines="100" w:afterLines="100"/>
      <w:jc w:val="center"/>
    </w:pPr>
    <w:rPr>
      <w:rFonts w:ascii="Arial" w:hAnsi="Arial" w:eastAsia="仿宋_GB2312" w:cs="Arial"/>
      <w:snapToGrid w:val="0"/>
      <w:kern w:val="0"/>
      <w:sz w:val="24"/>
      <w:szCs w:val="24"/>
    </w:rPr>
  </w:style>
  <w:style w:type="paragraph" w:customStyle="1" w:styleId="127">
    <w:name w:val="样式7"/>
    <w:basedOn w:val="1"/>
    <w:qFormat/>
    <w:uiPriority w:val="0"/>
    <w:pPr>
      <w:adjustRightInd w:val="0"/>
      <w:snapToGrid w:val="0"/>
      <w:jc w:val="center"/>
    </w:pPr>
    <w:rPr>
      <w:rFonts w:ascii="Arial" w:hAnsi="Arial" w:eastAsia="楷体_GB2312" w:cs="Arial"/>
      <w:snapToGrid w:val="0"/>
      <w:kern w:val="0"/>
      <w:sz w:val="24"/>
      <w:szCs w:val="24"/>
    </w:rPr>
  </w:style>
  <w:style w:type="paragraph" w:customStyle="1" w:styleId="128">
    <w:name w:val="样式8"/>
    <w:basedOn w:val="1"/>
    <w:qFormat/>
    <w:uiPriority w:val="0"/>
    <w:pPr>
      <w:spacing w:before="100" w:beforeAutospacing="1" w:after="100" w:afterAutospacing="1"/>
      <w:jc w:val="center"/>
    </w:pPr>
    <w:rPr>
      <w:rFonts w:ascii="Arial" w:hAnsi="Arial" w:eastAsia="黑体" w:cs="Arial"/>
      <w:color w:val="000000"/>
      <w:kern w:val="0"/>
      <w:sz w:val="24"/>
      <w:szCs w:val="24"/>
    </w:rPr>
  </w:style>
  <w:style w:type="paragraph" w:customStyle="1" w:styleId="129">
    <w:name w:val="样式9"/>
    <w:basedOn w:val="1"/>
    <w:qFormat/>
    <w:uiPriority w:val="0"/>
    <w:pPr>
      <w:snapToGrid w:val="0"/>
      <w:spacing w:beforeLines="80" w:afterLines="80"/>
      <w:jc w:val="center"/>
    </w:pPr>
    <w:rPr>
      <w:rFonts w:ascii="Arial" w:hAnsi="Arial" w:eastAsia="黑体" w:cs="Arial"/>
      <w:color w:val="000000"/>
      <w:kern w:val="0"/>
      <w:sz w:val="24"/>
      <w:szCs w:val="24"/>
    </w:rPr>
  </w:style>
  <w:style w:type="paragraph" w:customStyle="1" w:styleId="130">
    <w:name w:val="样式10"/>
    <w:basedOn w:val="1"/>
    <w:qFormat/>
    <w:uiPriority w:val="0"/>
    <w:pPr>
      <w:spacing w:before="100" w:beforeAutospacing="1" w:after="100" w:afterAutospacing="1"/>
      <w:jc w:val="center"/>
    </w:pPr>
    <w:rPr>
      <w:rFonts w:ascii="Arial" w:hAnsi="Arial" w:eastAsia="楷体_GB2312" w:cs="Arial"/>
      <w:color w:val="000000"/>
      <w:kern w:val="0"/>
      <w:sz w:val="24"/>
      <w:szCs w:val="24"/>
    </w:rPr>
  </w:style>
  <w:style w:type="paragraph" w:customStyle="1" w:styleId="131">
    <w:name w:val="样式11"/>
    <w:basedOn w:val="1"/>
    <w:qFormat/>
    <w:uiPriority w:val="0"/>
    <w:pPr>
      <w:snapToGrid w:val="0"/>
      <w:spacing w:beforeLines="50"/>
      <w:jc w:val="left"/>
    </w:pPr>
    <w:rPr>
      <w:rFonts w:ascii="Arial" w:hAnsi="Arial" w:eastAsia="仿宋_GB2312" w:cs="Arial"/>
      <w:color w:val="000000"/>
      <w:kern w:val="0"/>
      <w:sz w:val="18"/>
      <w:szCs w:val="18"/>
    </w:rPr>
  </w:style>
  <w:style w:type="paragraph" w:customStyle="1" w:styleId="132">
    <w:name w:val="样式12"/>
    <w:basedOn w:val="1"/>
    <w:qFormat/>
    <w:uiPriority w:val="0"/>
    <w:pPr>
      <w:snapToGrid w:val="0"/>
      <w:ind w:firstLine="360" w:firstLineChars="200"/>
      <w:jc w:val="left"/>
    </w:pPr>
    <w:rPr>
      <w:rFonts w:ascii="Arial" w:hAnsi="Arial" w:eastAsia="仿宋_GB2312" w:cs="Arial"/>
      <w:color w:val="000000"/>
      <w:kern w:val="0"/>
      <w:sz w:val="18"/>
      <w:szCs w:val="18"/>
    </w:rPr>
  </w:style>
  <w:style w:type="paragraph" w:customStyle="1" w:styleId="133">
    <w:name w:val="样式3"/>
    <w:basedOn w:val="1"/>
    <w:qFormat/>
    <w:uiPriority w:val="0"/>
    <w:pPr>
      <w:widowControl/>
      <w:spacing w:beforeLines="30" w:afterLines="30"/>
    </w:pPr>
    <w:rPr>
      <w:rFonts w:ascii="黑体" w:hAnsi="宋体" w:eastAsia="黑体" w:cs="宋体"/>
      <w:color w:val="000000"/>
      <w:kern w:val="0"/>
      <w:sz w:val="24"/>
      <w:szCs w:val="24"/>
    </w:rPr>
  </w:style>
  <w:style w:type="paragraph" w:customStyle="1" w:styleId="13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35">
    <w:name w:val="No Spacing"/>
    <w:basedOn w:val="1"/>
    <w:qFormat/>
    <w:uiPriority w:val="1"/>
  </w:style>
  <w:style w:type="paragraph" w:styleId="136">
    <w:name w:val="Quote"/>
    <w:basedOn w:val="1"/>
    <w:next w:val="1"/>
    <w:link w:val="137"/>
    <w:qFormat/>
    <w:uiPriority w:val="29"/>
    <w:rPr>
      <w:i/>
      <w:iCs/>
      <w:color w:val="000000"/>
      <w:kern w:val="0"/>
      <w:sz w:val="20"/>
      <w:szCs w:val="20"/>
    </w:rPr>
  </w:style>
  <w:style w:type="character" w:customStyle="1" w:styleId="137">
    <w:name w:val="引用 Char"/>
    <w:basedOn w:val="46"/>
    <w:link w:val="136"/>
    <w:qFormat/>
    <w:uiPriority w:val="29"/>
    <w:rPr>
      <w:rFonts w:ascii="Calibri" w:hAnsi="Calibri" w:eastAsia="宋体"/>
      <w:i/>
      <w:iCs/>
      <w:color w:val="000000"/>
    </w:rPr>
  </w:style>
  <w:style w:type="paragraph" w:styleId="138">
    <w:name w:val="Intense Quote"/>
    <w:basedOn w:val="1"/>
    <w:next w:val="1"/>
    <w:link w:val="139"/>
    <w:qFormat/>
    <w:uiPriority w:val="30"/>
    <w:pPr>
      <w:pBdr>
        <w:bottom w:val="single" w:color="5B9BD5" w:sz="4" w:space="4"/>
      </w:pBdr>
      <w:spacing w:before="200" w:after="280"/>
      <w:ind w:left="936" w:right="936"/>
    </w:pPr>
    <w:rPr>
      <w:b/>
      <w:bCs/>
      <w:i/>
      <w:iCs/>
      <w:color w:val="5B9BD5"/>
      <w:kern w:val="0"/>
      <w:sz w:val="20"/>
      <w:szCs w:val="20"/>
    </w:rPr>
  </w:style>
  <w:style w:type="character" w:customStyle="1" w:styleId="139">
    <w:name w:val="明显引用 Char"/>
    <w:basedOn w:val="46"/>
    <w:link w:val="138"/>
    <w:qFormat/>
    <w:uiPriority w:val="30"/>
    <w:rPr>
      <w:rFonts w:ascii="Calibri" w:hAnsi="Calibri" w:eastAsia="宋体"/>
      <w:b/>
      <w:bCs/>
      <w:i/>
      <w:iCs/>
      <w:color w:val="5B9BD5"/>
    </w:rPr>
  </w:style>
  <w:style w:type="character" w:customStyle="1" w:styleId="140">
    <w:name w:val="不明显强调1"/>
    <w:qFormat/>
    <w:uiPriority w:val="19"/>
    <w:rPr>
      <w:i/>
      <w:iCs/>
      <w:color w:val="808080"/>
    </w:rPr>
  </w:style>
  <w:style w:type="character" w:customStyle="1" w:styleId="141">
    <w:name w:val="明显强调1"/>
    <w:qFormat/>
    <w:uiPriority w:val="21"/>
    <w:rPr>
      <w:b/>
      <w:bCs/>
      <w:i/>
      <w:iCs/>
      <w:color w:val="5B9BD5"/>
    </w:rPr>
  </w:style>
  <w:style w:type="character" w:customStyle="1" w:styleId="142">
    <w:name w:val="不明显参考1"/>
    <w:qFormat/>
    <w:uiPriority w:val="31"/>
    <w:rPr>
      <w:smallCaps/>
      <w:color w:val="ED7D31"/>
      <w:u w:val="single"/>
    </w:rPr>
  </w:style>
  <w:style w:type="character" w:customStyle="1" w:styleId="143">
    <w:name w:val="明显参考1"/>
    <w:qFormat/>
    <w:uiPriority w:val="32"/>
    <w:rPr>
      <w:b/>
      <w:bCs/>
      <w:smallCaps/>
      <w:color w:val="ED7D31"/>
      <w:spacing w:val="5"/>
      <w:u w:val="single"/>
    </w:rPr>
  </w:style>
  <w:style w:type="character" w:customStyle="1" w:styleId="144">
    <w:name w:val="书籍标题1"/>
    <w:qFormat/>
    <w:uiPriority w:val="33"/>
    <w:rPr>
      <w:b/>
      <w:bCs/>
      <w:smallCaps/>
      <w:spacing w:val="5"/>
    </w:rPr>
  </w:style>
  <w:style w:type="paragraph" w:customStyle="1" w:styleId="145">
    <w:name w:val="TBRXZ3"/>
    <w:basedOn w:val="26"/>
    <w:link w:val="146"/>
    <w:qFormat/>
    <w:uiPriority w:val="0"/>
    <w:pPr>
      <w:tabs>
        <w:tab w:val="left" w:pos="482"/>
        <w:tab w:val="left" w:pos="630"/>
      </w:tabs>
      <w:snapToGrid w:val="0"/>
      <w:spacing w:line="360" w:lineRule="auto"/>
      <w:outlineLvl w:val="2"/>
    </w:pPr>
    <w:rPr>
      <w:rFonts w:ascii="Arial" w:hAnsi="Arial"/>
      <w:color w:val="000000"/>
      <w:kern w:val="0"/>
      <w:sz w:val="24"/>
      <w:szCs w:val="24"/>
    </w:rPr>
  </w:style>
  <w:style w:type="character" w:customStyle="1" w:styleId="146">
    <w:name w:val="TBRXZ3 Char"/>
    <w:link w:val="145"/>
    <w:qFormat/>
    <w:uiPriority w:val="0"/>
    <w:rPr>
      <w:rFonts w:ascii="Arial" w:hAnsi="Arial" w:eastAsia="宋体"/>
      <w:color w:val="000000"/>
      <w:sz w:val="24"/>
      <w:szCs w:val="24"/>
    </w:rPr>
  </w:style>
  <w:style w:type="paragraph" w:customStyle="1" w:styleId="147">
    <w:name w:val="标题2"/>
    <w:basedOn w:val="26"/>
    <w:link w:val="148"/>
    <w:qFormat/>
    <w:uiPriority w:val="0"/>
    <w:pPr>
      <w:adjustRightInd w:val="0"/>
      <w:snapToGrid w:val="0"/>
      <w:spacing w:line="360" w:lineRule="auto"/>
      <w:outlineLvl w:val="1"/>
    </w:pPr>
    <w:rPr>
      <w:rFonts w:ascii="黑体" w:hAnsi="黑体" w:eastAsia="黑体"/>
      <w:color w:val="000000"/>
      <w:kern w:val="0"/>
      <w:sz w:val="30"/>
      <w:szCs w:val="30"/>
    </w:rPr>
  </w:style>
  <w:style w:type="character" w:customStyle="1" w:styleId="148">
    <w:name w:val="标题2 Char"/>
    <w:link w:val="147"/>
    <w:qFormat/>
    <w:uiPriority w:val="0"/>
    <w:rPr>
      <w:rFonts w:ascii="黑体" w:hAnsi="黑体" w:eastAsia="黑体"/>
      <w:color w:val="000000"/>
      <w:sz w:val="30"/>
      <w:szCs w:val="30"/>
    </w:rPr>
  </w:style>
  <w:style w:type="paragraph" w:customStyle="1" w:styleId="149">
    <w:name w:val="2"/>
    <w:qFormat/>
    <w:uiPriority w:val="0"/>
    <w:pPr>
      <w:widowControl w:val="0"/>
      <w:spacing w:line="360" w:lineRule="auto"/>
      <w:ind w:left="482" w:hanging="482"/>
      <w:jc w:val="both"/>
    </w:pPr>
    <w:rPr>
      <w:rFonts w:ascii="Times New Roman" w:hAnsi="Times New Roman" w:eastAsia="宋体" w:cs="Times New Roman"/>
      <w:sz w:val="21"/>
      <w:lang w:val="en-US" w:eastAsia="zh-CN" w:bidi="ar-SA"/>
    </w:rPr>
  </w:style>
  <w:style w:type="character" w:customStyle="1" w:styleId="150">
    <w:name w:val="访问过的超链接1"/>
    <w:qFormat/>
    <w:uiPriority w:val="0"/>
    <w:rPr>
      <w:color w:val="800080"/>
      <w:u w:val="single"/>
    </w:rPr>
  </w:style>
  <w:style w:type="paragraph" w:customStyle="1" w:styleId="151">
    <w:name w:val="样式17"/>
    <w:basedOn w:val="1"/>
    <w:qFormat/>
    <w:uiPriority w:val="0"/>
    <w:pPr>
      <w:adjustRightInd w:val="0"/>
      <w:snapToGrid w:val="0"/>
      <w:spacing w:line="360" w:lineRule="auto"/>
      <w:ind w:right="840" w:rightChars="400"/>
      <w:jc w:val="right"/>
    </w:pPr>
    <w:rPr>
      <w:rFonts w:ascii="仿宋_GB2312" w:hAnsi="Arial" w:eastAsia="仿宋_GB2312" w:cs="Arial"/>
      <w:sz w:val="28"/>
      <w:szCs w:val="28"/>
    </w:rPr>
  </w:style>
  <w:style w:type="paragraph" w:customStyle="1" w:styleId="152">
    <w:name w:val="样式13"/>
    <w:basedOn w:val="1"/>
    <w:qFormat/>
    <w:uiPriority w:val="0"/>
    <w:pPr>
      <w:snapToGrid w:val="0"/>
      <w:spacing w:afterLines="100" w:line="360" w:lineRule="auto"/>
    </w:pPr>
    <w:rPr>
      <w:rFonts w:ascii="Arial" w:hAnsi="Arial" w:eastAsia="仿宋_GB2312" w:cs="Arial"/>
      <w:sz w:val="28"/>
      <w:szCs w:val="28"/>
    </w:rPr>
  </w:style>
  <w:style w:type="paragraph" w:customStyle="1" w:styleId="153">
    <w:name w:val="样式14"/>
    <w:basedOn w:val="1"/>
    <w:qFormat/>
    <w:uiPriority w:val="0"/>
    <w:pPr>
      <w:snapToGrid w:val="0"/>
      <w:spacing w:line="360" w:lineRule="auto"/>
      <w:ind w:firstLine="3920"/>
    </w:pPr>
    <w:rPr>
      <w:rFonts w:ascii="Arial" w:hAnsi="Arial" w:eastAsia="仿宋_GB2312" w:cs="Arial"/>
      <w:sz w:val="28"/>
      <w:szCs w:val="28"/>
    </w:rPr>
  </w:style>
  <w:style w:type="paragraph" w:customStyle="1" w:styleId="154">
    <w:name w:val="样式15"/>
    <w:basedOn w:val="1"/>
    <w:qFormat/>
    <w:uiPriority w:val="0"/>
    <w:pPr>
      <w:snapToGrid w:val="0"/>
      <w:spacing w:line="360" w:lineRule="auto"/>
      <w:ind w:firstLine="5600" w:firstLineChars="2000"/>
    </w:pPr>
    <w:rPr>
      <w:rFonts w:ascii="Arial" w:hAnsi="Arial" w:eastAsia="仿宋_GB2312" w:cs="Arial"/>
      <w:sz w:val="28"/>
      <w:szCs w:val="28"/>
    </w:rPr>
  </w:style>
  <w:style w:type="paragraph" w:customStyle="1" w:styleId="155">
    <w:name w:val="样式16"/>
    <w:basedOn w:val="1"/>
    <w:qFormat/>
    <w:uiPriority w:val="0"/>
    <w:pPr>
      <w:snapToGrid w:val="0"/>
      <w:spacing w:line="360" w:lineRule="auto"/>
      <w:ind w:firstLine="4480" w:firstLineChars="1600"/>
    </w:pPr>
    <w:rPr>
      <w:rFonts w:ascii="Arial" w:hAnsi="Arial" w:eastAsia="仿宋_GB2312" w:cs="Arial"/>
      <w:sz w:val="28"/>
      <w:szCs w:val="28"/>
    </w:rPr>
  </w:style>
  <w:style w:type="paragraph" w:customStyle="1" w:styleId="15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7">
    <w:name w:val="N.N Char Char"/>
    <w:link w:val="158"/>
    <w:qFormat/>
    <w:locked/>
    <w:uiPriority w:val="0"/>
    <w:rPr>
      <w:rFonts w:ascii="黑体" w:hAnsi="Calibri" w:eastAsia="黑体"/>
      <w:kern w:val="2"/>
      <w:sz w:val="32"/>
      <w:szCs w:val="32"/>
    </w:rPr>
  </w:style>
  <w:style w:type="paragraph" w:customStyle="1" w:styleId="158">
    <w:name w:val="N.N"/>
    <w:basedOn w:val="1"/>
    <w:next w:val="1"/>
    <w:link w:val="157"/>
    <w:qFormat/>
    <w:uiPriority w:val="0"/>
    <w:pPr>
      <w:tabs>
        <w:tab w:val="left" w:pos="840"/>
      </w:tabs>
      <w:spacing w:line="480" w:lineRule="auto"/>
      <w:ind w:left="840" w:hanging="420"/>
      <w:jc w:val="left"/>
      <w:outlineLvl w:val="1"/>
    </w:pPr>
    <w:rPr>
      <w:rFonts w:ascii="黑体" w:eastAsia="黑体"/>
      <w:sz w:val="32"/>
      <w:szCs w:val="32"/>
    </w:rPr>
  </w:style>
  <w:style w:type="paragraph" w:customStyle="1" w:styleId="159">
    <w:name w:val="列出段落1"/>
    <w:basedOn w:val="1"/>
    <w:qFormat/>
    <w:uiPriority w:val="0"/>
    <w:pPr>
      <w:spacing w:line="360" w:lineRule="auto"/>
      <w:ind w:left="482" w:firstLine="420" w:firstLineChars="200"/>
    </w:pPr>
    <w:rPr>
      <w:rFonts w:ascii="Times New Roman" w:hAnsi="Times New Roman"/>
      <w:kern w:val="0"/>
      <w:szCs w:val="20"/>
    </w:rPr>
  </w:style>
  <w:style w:type="paragraph" w:customStyle="1" w:styleId="160">
    <w:name w:val="列出段落2"/>
    <w:basedOn w:val="1"/>
    <w:qFormat/>
    <w:uiPriority w:val="0"/>
    <w:pPr>
      <w:spacing w:line="360" w:lineRule="auto"/>
      <w:ind w:left="482" w:firstLine="420" w:firstLineChars="200"/>
    </w:pPr>
    <w:rPr>
      <w:rFonts w:ascii="Times New Roman" w:hAnsi="Times New Roman"/>
      <w:kern w:val="0"/>
      <w:szCs w:val="20"/>
    </w:rPr>
  </w:style>
  <w:style w:type="paragraph" w:customStyle="1" w:styleId="161">
    <w:name w:val="表格文本"/>
    <w:basedOn w:val="1"/>
    <w:qFormat/>
    <w:uiPriority w:val="0"/>
    <w:pPr>
      <w:jc w:val="center"/>
    </w:pPr>
    <w:rPr>
      <w:rFonts w:ascii="Times New Roman" w:hAnsi="Times New Roman"/>
      <w:sz w:val="24"/>
      <w:szCs w:val="20"/>
    </w:rPr>
  </w:style>
  <w:style w:type="character" w:customStyle="1" w:styleId="162">
    <w:name w:val="列出段落 Char1"/>
    <w:qFormat/>
    <w:locked/>
    <w:uiPriority w:val="99"/>
    <w:rPr>
      <w:sz w:val="21"/>
      <w:szCs w:val="21"/>
    </w:rPr>
  </w:style>
  <w:style w:type="paragraph" w:customStyle="1" w:styleId="163">
    <w:name w:val="清單段落"/>
    <w:basedOn w:val="1"/>
    <w:qFormat/>
    <w:uiPriority w:val="0"/>
    <w:pPr>
      <w:ind w:firstLine="420" w:firstLineChars="200"/>
    </w:pPr>
    <w:rPr>
      <w:rFonts w:ascii="Times New Roman" w:hAnsi="Times New Roman"/>
      <w:szCs w:val="24"/>
    </w:rPr>
  </w:style>
  <w:style w:type="character" w:customStyle="1" w:styleId="164">
    <w:name w:val="浅色网格 - 强调文字颜色 3 Char"/>
    <w:qFormat/>
    <w:locked/>
    <w:uiPriority w:val="99"/>
    <w:rPr>
      <w:sz w:val="21"/>
      <w:szCs w:val="21"/>
    </w:rPr>
  </w:style>
  <w:style w:type="paragraph" w:customStyle="1" w:styleId="165">
    <w:name w:val="中等深浅网格 21"/>
    <w:qFormat/>
    <w:uiPriority w:val="1"/>
    <w:pPr>
      <w:widowControl w:val="0"/>
      <w:ind w:left="482" w:hanging="482"/>
      <w:jc w:val="both"/>
    </w:pPr>
    <w:rPr>
      <w:rFonts w:ascii="Times New Roman" w:hAnsi="Times New Roman" w:eastAsia="宋体" w:cs="Times New Roman"/>
      <w:sz w:val="21"/>
      <w:szCs w:val="21"/>
      <w:lang w:val="en-US" w:eastAsia="zh-CN" w:bidi="ar-SA"/>
    </w:rPr>
  </w:style>
  <w:style w:type="paragraph" w:customStyle="1" w:styleId="166">
    <w:name w:val="BY"/>
    <w:basedOn w:val="1"/>
    <w:qFormat/>
    <w:uiPriority w:val="0"/>
    <w:pPr>
      <w:spacing w:line="280" w:lineRule="atLeast"/>
      <w:ind w:left="1701"/>
    </w:pPr>
    <w:rPr>
      <w:rFonts w:ascii="Arial" w:hAnsi="Arial"/>
      <w:kern w:val="0"/>
      <w:sz w:val="22"/>
      <w:szCs w:val="20"/>
      <w:lang w:eastAsia="en-US"/>
    </w:rPr>
  </w:style>
  <w:style w:type="character" w:customStyle="1" w:styleId="167">
    <w:name w:val="zwSpace"/>
    <w:qFormat/>
    <w:uiPriority w:val="0"/>
    <w:rPr>
      <w:rFonts w:ascii="Arial" w:hAnsi="Arial" w:eastAsia="FZKai-Z03"/>
      <w:sz w:val="2"/>
    </w:rPr>
  </w:style>
  <w:style w:type="paragraph" w:customStyle="1" w:styleId="168">
    <w:name w:val="p0"/>
    <w:basedOn w:val="1"/>
    <w:qFormat/>
    <w:uiPriority w:val="0"/>
    <w:pPr>
      <w:widowControl/>
    </w:pPr>
    <w:rPr>
      <w:rFonts w:ascii="Times New Roman" w:hAnsi="Times New Roman"/>
      <w:kern w:val="0"/>
      <w:szCs w:val="21"/>
    </w:rPr>
  </w:style>
  <w:style w:type="paragraph" w:customStyle="1" w:styleId="169">
    <w:name w:val="copy"/>
    <w:basedOn w:val="1"/>
    <w:qFormat/>
    <w:uiPriority w:val="99"/>
    <w:pPr>
      <w:widowControl/>
      <w:spacing w:before="100" w:beforeAutospacing="1" w:after="100" w:afterAutospacing="1" w:line="228" w:lineRule="atLeast"/>
      <w:jc w:val="left"/>
    </w:pPr>
    <w:rPr>
      <w:rFonts w:ascii="Verdana" w:hAnsi="Verdana" w:cs="Verdana"/>
      <w:color w:val="000000"/>
      <w:kern w:val="0"/>
      <w:sz w:val="14"/>
      <w:szCs w:val="14"/>
      <w:lang w:val="en-AU" w:eastAsia="en-AU"/>
    </w:rPr>
  </w:style>
  <w:style w:type="paragraph" w:customStyle="1" w:styleId="170">
    <w:name w:val="Цветной список - Акцент 11"/>
    <w:basedOn w:val="1"/>
    <w:qFormat/>
    <w:uiPriority w:val="34"/>
    <w:pPr>
      <w:ind w:firstLine="420" w:firstLineChars="200"/>
    </w:pPr>
  </w:style>
  <w:style w:type="paragraph" w:customStyle="1" w:styleId="171">
    <w:name w:val="Article1_L2"/>
    <w:next w:val="1"/>
    <w:qFormat/>
    <w:uiPriority w:val="0"/>
    <w:pPr>
      <w:widowControl w:val="0"/>
      <w:autoSpaceDE w:val="0"/>
      <w:autoSpaceDN w:val="0"/>
      <w:adjustRightInd w:val="0"/>
      <w:spacing w:after="240"/>
      <w:ind w:firstLine="1440"/>
      <w:outlineLvl w:val="1"/>
    </w:pPr>
    <w:rPr>
      <w:rFonts w:ascii="Times New Roman" w:hAnsi="Times New Roman" w:eastAsia="Times New Roman" w:cs="Times New Roman"/>
      <w:sz w:val="24"/>
      <w:szCs w:val="24"/>
      <w:lang w:val="en-US" w:eastAsia="en-US" w:bidi="ar-SA"/>
    </w:rPr>
  </w:style>
  <w:style w:type="character" w:customStyle="1" w:styleId="172">
    <w:name w:val="hps"/>
    <w:basedOn w:val="46"/>
    <w:qFormat/>
    <w:uiPriority w:val="99"/>
  </w:style>
  <w:style w:type="paragraph" w:customStyle="1" w:styleId="173">
    <w:name w:val="标题 21"/>
    <w:qFormat/>
    <w:uiPriority w:val="99"/>
    <w:pPr>
      <w:spacing w:before="100" w:after="240" w:line="300" w:lineRule="atLeast"/>
      <w:ind w:left="709"/>
      <w:jc w:val="both"/>
      <w:outlineLvl w:val="1"/>
    </w:pPr>
    <w:rPr>
      <w:rFonts w:ascii="Times New Roman" w:hAnsi="Times New Roman" w:eastAsia="ヒラギノ角ゴ Pro W3" w:cs="Times New Roman"/>
      <w:color w:val="000000"/>
      <w:sz w:val="22"/>
      <w:szCs w:val="22"/>
      <w:lang w:val="en-GB" w:eastAsia="zh-CN" w:bidi="ar-SA"/>
    </w:rPr>
  </w:style>
  <w:style w:type="character" w:customStyle="1" w:styleId="174">
    <w:name w:val="jsttextcell1"/>
    <w:basedOn w:val="46"/>
    <w:qFormat/>
    <w:uiPriority w:val="0"/>
  </w:style>
  <w:style w:type="paragraph" w:customStyle="1" w:styleId="175">
    <w:name w:val="Char Char Char Char Char Char Char"/>
    <w:basedOn w:val="1"/>
    <w:next w:val="1"/>
    <w:qFormat/>
    <w:uiPriority w:val="0"/>
    <w:pPr>
      <w:spacing w:line="360" w:lineRule="auto"/>
      <w:jc w:val="left"/>
    </w:pPr>
    <w:rPr>
      <w:rFonts w:ascii="Times New Roman" w:hAnsi="Times New Roman"/>
      <w:sz w:val="28"/>
      <w:szCs w:val="24"/>
    </w:rPr>
  </w:style>
  <w:style w:type="paragraph" w:customStyle="1" w:styleId="176">
    <w:name w:val="Char Char Char Char"/>
    <w:basedOn w:val="20"/>
    <w:qFormat/>
    <w:uiPriority w:val="0"/>
    <w:pPr>
      <w:shd w:val="clear" w:color="auto" w:fill="000080"/>
      <w:ind w:firstLine="720" w:firstLineChars="225"/>
      <w:jc w:val="left"/>
    </w:pPr>
    <w:rPr>
      <w:rFonts w:ascii="Tahoma" w:hAnsi="Tahoma" w:cs="Arial"/>
      <w:sz w:val="24"/>
      <w:szCs w:val="20"/>
    </w:rPr>
  </w:style>
  <w:style w:type="paragraph" w:customStyle="1" w:styleId="177">
    <w:name w:val="章标题"/>
    <w:basedOn w:val="1"/>
    <w:semiHidden/>
    <w:qFormat/>
    <w:uiPriority w:val="0"/>
    <w:pPr>
      <w:tabs>
        <w:tab w:val="left" w:pos="350"/>
      </w:tabs>
      <w:spacing w:line="360" w:lineRule="auto"/>
      <w:outlineLvl w:val="0"/>
    </w:pPr>
    <w:rPr>
      <w:rFonts w:ascii="黑体" w:hAnsi="黑体" w:eastAsia="黑体" w:cs="宋体"/>
      <w:sz w:val="24"/>
      <w:szCs w:val="20"/>
    </w:rPr>
  </w:style>
  <w:style w:type="paragraph" w:customStyle="1" w:styleId="178">
    <w:name w:val="一级条标题 (符号) 宋体 小四 行距: 1.5 倍行距"/>
    <w:basedOn w:val="1"/>
    <w:link w:val="179"/>
    <w:semiHidden/>
    <w:qFormat/>
    <w:uiPriority w:val="0"/>
    <w:pPr>
      <w:numPr>
        <w:ilvl w:val="1"/>
        <w:numId w:val="2"/>
      </w:numPr>
      <w:spacing w:line="360" w:lineRule="auto"/>
      <w:outlineLvl w:val="1"/>
    </w:pPr>
    <w:rPr>
      <w:rFonts w:ascii="Times New Roman" w:hAnsi="宋体" w:cs="宋体"/>
      <w:sz w:val="24"/>
      <w:szCs w:val="20"/>
    </w:rPr>
  </w:style>
  <w:style w:type="character" w:customStyle="1" w:styleId="179">
    <w:name w:val="一级条标题 (符号) 宋体 小四 行距: 1.5 倍行距 Char"/>
    <w:basedOn w:val="46"/>
    <w:link w:val="178"/>
    <w:semiHidden/>
    <w:qFormat/>
    <w:uiPriority w:val="0"/>
    <w:rPr>
      <w:rFonts w:hAnsi="宋体" w:eastAsia="宋体" w:cs="宋体"/>
      <w:kern w:val="2"/>
      <w:sz w:val="24"/>
    </w:rPr>
  </w:style>
  <w:style w:type="paragraph" w:customStyle="1" w:styleId="180">
    <w:name w:val="二级条标题 (符号) 宋体 小四 行距: 1.5 倍行距1"/>
    <w:basedOn w:val="1"/>
    <w:semiHidden/>
    <w:qFormat/>
    <w:uiPriority w:val="0"/>
    <w:pPr>
      <w:tabs>
        <w:tab w:val="left" w:pos="700"/>
      </w:tabs>
      <w:spacing w:line="360" w:lineRule="auto"/>
      <w:outlineLvl w:val="2"/>
    </w:pPr>
    <w:rPr>
      <w:rFonts w:ascii="Times New Roman" w:hAnsi="宋体" w:cs="宋体"/>
      <w:sz w:val="24"/>
      <w:szCs w:val="20"/>
    </w:rPr>
  </w:style>
  <w:style w:type="paragraph" w:customStyle="1" w:styleId="181">
    <w:name w:val="三级条标题 (符号) 宋体 小四 行距: 1.5 倍行距2"/>
    <w:basedOn w:val="1"/>
    <w:semiHidden/>
    <w:qFormat/>
    <w:uiPriority w:val="0"/>
    <w:pPr>
      <w:tabs>
        <w:tab w:val="left" w:pos="900"/>
      </w:tabs>
      <w:spacing w:line="360" w:lineRule="auto"/>
      <w:outlineLvl w:val="3"/>
    </w:pPr>
    <w:rPr>
      <w:rFonts w:ascii="Times New Roman" w:hAnsi="宋体" w:cs="宋体"/>
      <w:sz w:val="24"/>
      <w:szCs w:val="20"/>
    </w:rPr>
  </w:style>
  <w:style w:type="paragraph" w:customStyle="1" w:styleId="182">
    <w:name w:val="四级条标题 (符号) 宋体 小四 行距: 1.5 倍行距3"/>
    <w:basedOn w:val="1"/>
    <w:semiHidden/>
    <w:qFormat/>
    <w:uiPriority w:val="0"/>
    <w:pPr>
      <w:tabs>
        <w:tab w:val="left" w:pos="1050"/>
      </w:tabs>
      <w:spacing w:line="360" w:lineRule="auto"/>
      <w:outlineLvl w:val="4"/>
    </w:pPr>
    <w:rPr>
      <w:rFonts w:ascii="Times New Roman" w:hAnsi="宋体" w:cs="宋体"/>
      <w:sz w:val="24"/>
      <w:szCs w:val="20"/>
    </w:rPr>
  </w:style>
  <w:style w:type="paragraph" w:customStyle="1" w:styleId="183">
    <w:name w:val="五级条标题 (符号) 宋体 小四 行距: 1.5 倍行距4"/>
    <w:basedOn w:val="1"/>
    <w:semiHidden/>
    <w:qFormat/>
    <w:uiPriority w:val="0"/>
    <w:pPr>
      <w:tabs>
        <w:tab w:val="left" w:pos="1250"/>
      </w:tabs>
      <w:spacing w:line="360" w:lineRule="auto"/>
      <w:outlineLvl w:val="5"/>
    </w:pPr>
    <w:rPr>
      <w:rFonts w:ascii="Times New Roman" w:hAnsi="宋体" w:cs="宋体"/>
      <w:sz w:val="24"/>
      <w:szCs w:val="20"/>
    </w:rPr>
  </w:style>
  <w:style w:type="paragraph" w:customStyle="1" w:styleId="184">
    <w:name w:val="Plain Text1"/>
    <w:basedOn w:val="1"/>
    <w:qFormat/>
    <w:uiPriority w:val="0"/>
    <w:rPr>
      <w:rFonts w:hint="eastAsia" w:ascii="宋体" w:hAnsi="Courier New"/>
      <w:szCs w:val="20"/>
    </w:rPr>
  </w:style>
  <w:style w:type="paragraph" w:customStyle="1" w:styleId="185">
    <w:name w:val="普通(网站)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186">
    <w:name w:val="列出段落 Char2"/>
    <w:qFormat/>
    <w:locked/>
    <w:uiPriority w:val="34"/>
    <w:rPr>
      <w:rFonts w:ascii="官帕" w:eastAsia="官帕"/>
      <w:kern w:val="2"/>
      <w:lang w:eastAsia="ko-KR"/>
    </w:rPr>
  </w:style>
  <w:style w:type="paragraph" w:customStyle="1" w:styleId="187">
    <w:name w:val="p16"/>
    <w:basedOn w:val="1"/>
    <w:qFormat/>
    <w:uiPriority w:val="0"/>
    <w:pPr>
      <w:widowControl/>
    </w:pPr>
    <w:rPr>
      <w:rFonts w:ascii="宋体" w:hAnsi="宋体" w:cs="宋体"/>
      <w:kern w:val="0"/>
      <w:szCs w:val="21"/>
    </w:rPr>
  </w:style>
  <w:style w:type="paragraph" w:customStyle="1" w:styleId="188">
    <w:name w:val="p18"/>
    <w:basedOn w:val="1"/>
    <w:qFormat/>
    <w:uiPriority w:val="0"/>
    <w:pPr>
      <w:widowControl/>
    </w:pPr>
    <w:rPr>
      <w:rFonts w:ascii="Times New Roman" w:hAnsi="Times New Roman"/>
      <w:kern w:val="0"/>
      <w:szCs w:val="21"/>
    </w:rPr>
  </w:style>
  <w:style w:type="character" w:customStyle="1" w:styleId="189">
    <w:name w:val="15"/>
    <w:basedOn w:val="46"/>
    <w:qFormat/>
    <w:uiPriority w:val="0"/>
    <w:rPr>
      <w:rFonts w:hint="default" w:ascii="Times New Roman" w:hAnsi="Times New Roman" w:cs="Times New Roman"/>
      <w:color w:val="0000FF"/>
      <w:sz w:val="20"/>
      <w:szCs w:val="20"/>
      <w:u w:val="single"/>
    </w:rPr>
  </w:style>
  <w:style w:type="paragraph" w:customStyle="1" w:styleId="190">
    <w:name w:val="p15"/>
    <w:basedOn w:val="1"/>
    <w:qFormat/>
    <w:uiPriority w:val="0"/>
    <w:pPr>
      <w:widowControl/>
    </w:pPr>
    <w:rPr>
      <w:rFonts w:ascii="宋体" w:hAnsi="宋体" w:cs="宋体"/>
      <w:kern w:val="0"/>
      <w:szCs w:val="21"/>
    </w:rPr>
  </w:style>
  <w:style w:type="character" w:customStyle="1" w:styleId="191">
    <w:name w:val="font11"/>
    <w:basedOn w:val="46"/>
    <w:qFormat/>
    <w:uiPriority w:val="0"/>
    <w:rPr>
      <w:rFonts w:hint="default" w:ascii="Arial" w:hAnsi="Arial" w:cs="Arial"/>
      <w:b/>
      <w:bCs/>
      <w:color w:val="000000"/>
      <w:sz w:val="20"/>
      <w:szCs w:val="20"/>
      <w:u w:val="none"/>
    </w:rPr>
  </w:style>
  <w:style w:type="character" w:customStyle="1" w:styleId="192">
    <w:name w:val="font21"/>
    <w:basedOn w:val="46"/>
    <w:qFormat/>
    <w:uiPriority w:val="0"/>
    <w:rPr>
      <w:rFonts w:hint="eastAsia" w:ascii="宋体" w:hAnsi="宋体" w:eastAsia="宋体"/>
      <w:b/>
      <w:bCs/>
      <w:color w:val="000000"/>
      <w:sz w:val="20"/>
      <w:szCs w:val="20"/>
      <w:u w:val="none"/>
    </w:rPr>
  </w:style>
  <w:style w:type="character" w:customStyle="1" w:styleId="193">
    <w:name w:val="font31"/>
    <w:basedOn w:val="46"/>
    <w:qFormat/>
    <w:uiPriority w:val="0"/>
    <w:rPr>
      <w:rFonts w:hint="default" w:ascii="Arial" w:hAnsi="Arial" w:cs="Arial"/>
      <w:color w:val="000000"/>
      <w:sz w:val="20"/>
      <w:szCs w:val="20"/>
      <w:u w:val="none"/>
    </w:rPr>
  </w:style>
  <w:style w:type="character" w:customStyle="1" w:styleId="194">
    <w:name w:val="font41"/>
    <w:basedOn w:val="46"/>
    <w:qFormat/>
    <w:uiPriority w:val="0"/>
    <w:rPr>
      <w:rFonts w:hint="eastAsia" w:ascii="宋体" w:hAnsi="宋体" w:eastAsia="宋体"/>
      <w:color w:val="000000"/>
      <w:sz w:val="20"/>
      <w:szCs w:val="20"/>
      <w:u w:val="none"/>
    </w:rPr>
  </w:style>
  <w:style w:type="character" w:customStyle="1" w:styleId="195">
    <w:name w:val="font51"/>
    <w:basedOn w:val="46"/>
    <w:qFormat/>
    <w:uiPriority w:val="0"/>
    <w:rPr>
      <w:rFonts w:hint="eastAsia" w:ascii="宋体" w:hAnsi="宋体" w:eastAsia="宋体"/>
      <w:b/>
      <w:bCs/>
      <w:color w:val="000000"/>
      <w:sz w:val="20"/>
      <w:szCs w:val="20"/>
      <w:u w:val="none"/>
    </w:rPr>
  </w:style>
  <w:style w:type="character" w:customStyle="1" w:styleId="196">
    <w:name w:val="font61"/>
    <w:basedOn w:val="46"/>
    <w:qFormat/>
    <w:uiPriority w:val="0"/>
    <w:rPr>
      <w:rFonts w:hint="default" w:ascii="Arial" w:hAnsi="Arial" w:cs="Arial"/>
      <w:color w:val="000000"/>
      <w:sz w:val="20"/>
      <w:szCs w:val="20"/>
      <w:u w:val="none"/>
    </w:rPr>
  </w:style>
  <w:style w:type="character" w:customStyle="1" w:styleId="197">
    <w:name w:val="font01"/>
    <w:basedOn w:val="46"/>
    <w:qFormat/>
    <w:uiPriority w:val="0"/>
    <w:rPr>
      <w:rFonts w:ascii="Arial" w:hAnsi="Arial" w:cs="Arial"/>
      <w:color w:val="000000"/>
      <w:sz w:val="20"/>
      <w:szCs w:val="20"/>
      <w:u w:val="none"/>
    </w:rPr>
  </w:style>
  <w:style w:type="character" w:customStyle="1" w:styleId="198">
    <w:name w:val="font111"/>
    <w:basedOn w:val="46"/>
    <w:qFormat/>
    <w:uiPriority w:val="0"/>
    <w:rPr>
      <w:rFonts w:ascii="Arial" w:hAnsi="Arial" w:cs="Arial"/>
      <w:color w:val="000000"/>
      <w:sz w:val="20"/>
      <w:szCs w:val="20"/>
      <w:u w:val="none"/>
    </w:rPr>
  </w:style>
  <w:style w:type="character" w:customStyle="1" w:styleId="199">
    <w:name w:val="font112"/>
    <w:basedOn w:val="46"/>
    <w:qFormat/>
    <w:uiPriority w:val="0"/>
    <w:rPr>
      <w:rFonts w:hint="eastAsia" w:ascii="宋体" w:hAnsi="宋体" w:eastAsia="宋体" w:cs="宋体"/>
      <w:color w:val="000000"/>
      <w:sz w:val="20"/>
      <w:szCs w:val="20"/>
      <w:u w:val="none"/>
    </w:rPr>
  </w:style>
  <w:style w:type="character" w:customStyle="1" w:styleId="200">
    <w:name w:val="font91"/>
    <w:basedOn w:val="46"/>
    <w:qFormat/>
    <w:uiPriority w:val="0"/>
    <w:rPr>
      <w:rFonts w:hint="eastAsia" w:ascii="宋体" w:hAnsi="宋体" w:eastAsia="宋体" w:cs="宋体"/>
      <w:color w:val="000000"/>
      <w:sz w:val="20"/>
      <w:szCs w:val="20"/>
      <w:u w:val="none"/>
    </w:rPr>
  </w:style>
  <w:style w:type="character" w:customStyle="1" w:styleId="201">
    <w:name w:val="font101"/>
    <w:basedOn w:val="46"/>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1FC42-D939-4DA6-96D3-658CCD60322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78</Pages>
  <Words>5039</Words>
  <Characters>28726</Characters>
  <Lines>239</Lines>
  <Paragraphs>67</Paragraphs>
  <TotalTime>1</TotalTime>
  <ScaleCrop>false</ScaleCrop>
  <LinksUpToDate>false</LinksUpToDate>
  <CharactersWithSpaces>33698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2021-08-27T00:24:00Z</dcterms:created>
  <dc:creator>蔡南琪</dc:creator>
  <cp:lastModifiedBy>姜喆</cp:lastModifiedBy>
  <cp:lastPrinted>2017-06-20T00:57:00Z</cp:lastPrinted>
  <dcterms:modified xsi:type="dcterms:W3CDTF">2022-08-01T02:16:46Z</dcterms:modified>
  <dc:title>中华人民共和国</dc:title>
  <cp:revision>383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1A8E91FB5D164F9D8743476AB2AD577B</vt:lpwstr>
  </property>
</Properties>
</file>