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2022 </w:t>
      </w:r>
      <w:r>
        <w:rPr>
          <w:rFonts w:hint="eastAsia" w:ascii="仿宋_GB2312" w:eastAsia="仿宋_GB2312"/>
          <w:sz w:val="32"/>
        </w:rPr>
        <w:t xml:space="preserve">年 </w:t>
      </w:r>
      <w:r>
        <w:rPr>
          <w:rFonts w:hint="eastAsia" w:ascii="仿宋_GB2312" w:eastAsia="仿宋_GB2312"/>
          <w:sz w:val="32"/>
          <w:lang w:val="en-US" w:eastAsia="zh-CN"/>
        </w:rPr>
        <w:t>11</w:t>
      </w:r>
      <w:r>
        <w:rPr>
          <w:rFonts w:hint="eastAsia" w:ascii="仿宋_GB2312" w:eastAsia="仿宋_GB2312"/>
          <w:sz w:val="32"/>
        </w:rPr>
        <w:t xml:space="preserve"> 月 </w:t>
      </w:r>
      <w:r>
        <w:rPr>
          <w:rFonts w:hint="eastAsia" w:ascii="仿宋_GB2312" w:eastAsia="仿宋_GB2312"/>
          <w:sz w:val="32"/>
          <w:lang w:val="en-US" w:eastAsia="zh-CN"/>
        </w:rPr>
        <w:t>2</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6"/>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1322"/>
        <w:gridCol w:w="3454"/>
        <w:gridCol w:w="666"/>
        <w:gridCol w:w="997"/>
        <w:gridCol w:w="76"/>
        <w:gridCol w:w="1749"/>
        <w:gridCol w:w="1306"/>
      </w:tblGrid>
      <w:tr>
        <w:tblPrEx>
          <w:tblLayout w:type="fixed"/>
          <w:tblCellMar>
            <w:top w:w="0" w:type="dxa"/>
            <w:left w:w="108" w:type="dxa"/>
            <w:bottom w:w="0" w:type="dxa"/>
            <w:right w:w="108" w:type="dxa"/>
          </w:tblCellMar>
        </w:tblPrEx>
        <w:trPr>
          <w:trHeight w:val="840" w:hRule="atLeast"/>
        </w:trPr>
        <w:tc>
          <w:tcPr>
            <w:tcW w:w="132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8248"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4120"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姜喆　</w:t>
            </w:r>
          </w:p>
        </w:tc>
        <w:tc>
          <w:tcPr>
            <w:tcW w:w="107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5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4120"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18019196556</w:t>
            </w:r>
          </w:p>
        </w:tc>
        <w:tc>
          <w:tcPr>
            <w:tcW w:w="107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5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jiangzhe</w:t>
            </w:r>
            <w:r>
              <w:rPr>
                <w:rFonts w:ascii="仿宋_GB2312" w:hAnsi="宋体" w:eastAsia="仿宋_GB2312" w:cs="宋体"/>
                <w:color w:val="000000"/>
                <w:kern w:val="0"/>
                <w:sz w:val="24"/>
              </w:rPr>
              <w:t>@comac.cc</w:t>
            </w:r>
          </w:p>
        </w:tc>
      </w:tr>
      <w:tr>
        <w:tblPrEx>
          <w:tblLayout w:type="fixed"/>
          <w:tblCellMar>
            <w:top w:w="0" w:type="dxa"/>
            <w:left w:w="108" w:type="dxa"/>
            <w:bottom w:w="0" w:type="dxa"/>
            <w:right w:w="108" w:type="dxa"/>
          </w:tblCellMar>
        </w:tblPrEx>
        <w:trPr>
          <w:trHeight w:val="725"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8248"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ARJ21项目飞机维修手册（AMM）航线适用性评估</w:t>
            </w:r>
          </w:p>
        </w:tc>
      </w:tr>
      <w:tr>
        <w:tblPrEx>
          <w:tblLayout w:type="fixed"/>
          <w:tblCellMar>
            <w:top w:w="0" w:type="dxa"/>
            <w:left w:w="108" w:type="dxa"/>
            <w:bottom w:w="0" w:type="dxa"/>
            <w:right w:w="108" w:type="dxa"/>
          </w:tblCellMar>
        </w:tblPrEx>
        <w:trPr>
          <w:trHeight w:val="1680"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8248" w:type="dxa"/>
            <w:gridSpan w:val="6"/>
            <w:tcBorders>
              <w:top w:val="single" w:color="auto" w:sz="4" w:space="0"/>
              <w:left w:val="nil"/>
              <w:bottom w:val="single" w:color="auto" w:sz="4" w:space="0"/>
              <w:right w:val="single" w:color="auto" w:sz="4" w:space="0"/>
            </w:tcBorders>
            <w:vAlign w:val="center"/>
          </w:tcPr>
          <w:p>
            <w:pPr>
              <w:numPr>
                <w:ilvl w:val="0"/>
                <w:numId w:val="1"/>
              </w:numPr>
              <w:adjustRightInd w:val="0"/>
              <w:snapToGrid w:val="0"/>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能够</w:t>
            </w:r>
            <w:r>
              <w:rPr>
                <w:rFonts w:ascii="仿宋_GB2312" w:hAnsi="宋体" w:eastAsia="仿宋_GB2312" w:cs="宋体"/>
                <w:color w:val="000000"/>
                <w:kern w:val="0"/>
                <w:sz w:val="24"/>
                <w:szCs w:val="20"/>
              </w:rPr>
              <w:t>提供</w:t>
            </w:r>
            <w:r>
              <w:rPr>
                <w:rFonts w:hint="eastAsia" w:ascii="仿宋_GB2312" w:hAnsi="宋体" w:eastAsia="仿宋_GB2312" w:cs="宋体"/>
                <w:color w:val="000000"/>
                <w:kern w:val="0"/>
                <w:sz w:val="24"/>
                <w:szCs w:val="20"/>
              </w:rPr>
              <w:t>企业法人营业执照并具有完成本项目所需的经营范围；</w:t>
            </w:r>
          </w:p>
          <w:p>
            <w:pPr>
              <w:numPr>
                <w:ilvl w:val="0"/>
                <w:numId w:val="1"/>
              </w:numPr>
              <w:adjustRightInd w:val="0"/>
              <w:snapToGrid w:val="0"/>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注册资金需在500万元（含）以上；</w:t>
            </w:r>
          </w:p>
          <w:p>
            <w:pPr>
              <w:numPr>
                <w:ilvl w:val="0"/>
                <w:numId w:val="1"/>
              </w:numPr>
              <w:adjustRightInd w:val="0"/>
              <w:snapToGrid w:val="0"/>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具有企业法人资格证明、被授权人身份证明及法人授权委托书；</w:t>
            </w:r>
          </w:p>
          <w:p>
            <w:pPr>
              <w:numPr>
                <w:ilvl w:val="0"/>
                <w:numId w:val="1"/>
              </w:numPr>
              <w:adjustRightInd w:val="0"/>
              <w:snapToGrid w:val="0"/>
              <w:rPr>
                <w:rFonts w:ascii="仿宋_GB2312" w:hAnsi="宋体" w:eastAsia="仿宋_GB2312" w:cs="宋体"/>
                <w:color w:val="000000"/>
                <w:kern w:val="0"/>
                <w:sz w:val="24"/>
                <w:szCs w:val="20"/>
              </w:rPr>
            </w:pPr>
            <w:r>
              <w:rPr>
                <w:rFonts w:hint="eastAsia" w:ascii="仿宋_GB2312" w:hAnsi="宋体" w:eastAsia="仿宋_GB2312" w:cs="宋体"/>
                <w:color w:val="000000"/>
                <w:kern w:val="0"/>
                <w:sz w:val="24"/>
                <w:szCs w:val="20"/>
              </w:rPr>
              <w:t>未被列入全国失信被执行人名单，披露正在审理或执行完毕的标的金额大于500万元人民币（含本数）的重大诉讼、仲裁、索赔、行政复议或行政处罚。</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8248"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1.供应商</w:t>
            </w:r>
            <w:r>
              <w:rPr>
                <w:rFonts w:ascii="仿宋_GB2312" w:hAnsi="宋体" w:eastAsia="仿宋_GB2312" w:cs="宋体"/>
                <w:color w:val="000000"/>
                <w:kern w:val="0"/>
                <w:sz w:val="24"/>
              </w:rPr>
              <w:t>团队成员由具有与ARJ21相似机型运行经验及具有航空工程背景的维修人员组成</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2.供应商团队成员应熟练掌握飞机维修类手册的使用；</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3.供应商团队应由中级工程人员和高级工程人员组成，其中高级工程人员的数量不低于30%（中级工程人员为承担飞机维修相关工作3年及以上的人员。高级工程人员为承担飞机维修相关工作5年及以上的人员）；</w:t>
            </w:r>
          </w:p>
        </w:tc>
      </w:tr>
      <w:tr>
        <w:tblPrEx>
          <w:tblLayout w:type="fixed"/>
          <w:tblCellMar>
            <w:top w:w="0" w:type="dxa"/>
            <w:left w:w="108" w:type="dxa"/>
            <w:bottom w:w="0" w:type="dxa"/>
            <w:right w:w="108" w:type="dxa"/>
          </w:tblCellMar>
        </w:tblPrEx>
        <w:trPr>
          <w:trHeight w:val="1549"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8248"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项目</w:t>
            </w:r>
            <w:r>
              <w:rPr>
                <w:rFonts w:ascii="仿宋_GB2312" w:hAnsi="宋体" w:eastAsia="仿宋_GB2312" w:cs="宋体"/>
                <w:color w:val="000000"/>
                <w:kern w:val="0"/>
                <w:sz w:val="24"/>
              </w:rPr>
              <w:t>技术内容</w:t>
            </w:r>
          </w:p>
          <w:p>
            <w:pPr>
              <w:autoSpaceDN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本次评估的主要对象是现行版本的</w:t>
            </w:r>
            <w:r>
              <w:rPr>
                <w:rFonts w:hint="eastAsia" w:ascii="仿宋_GB2312" w:hAnsi="宋体" w:eastAsia="仿宋_GB2312" w:cs="宋体"/>
                <w:color w:val="000000"/>
                <w:kern w:val="0"/>
                <w:sz w:val="24"/>
              </w:rPr>
              <w:t>飞机维修手册（</w:t>
            </w:r>
            <w:r>
              <w:rPr>
                <w:rFonts w:ascii="仿宋_GB2312" w:hAnsi="宋体" w:eastAsia="仿宋_GB2312" w:cs="宋体"/>
                <w:color w:val="000000"/>
                <w:kern w:val="0"/>
                <w:sz w:val="24"/>
              </w:rPr>
              <w:t>AMM</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中/英文版本，由</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在项目启动后提供，在项目期间AMM换版后，由</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及时向供应商提供更新的手册，未进行审查的数据模块按照最新版本的AMM开展。评估工作分为四个阶段开展，依次为：AMM航线适用性评价标准制定、AMM内容审查、AMM完善建议提出、AMM维修程序验证。</w:t>
            </w:r>
          </w:p>
          <w:p>
            <w:pPr>
              <w:numPr>
                <w:ilvl w:val="0"/>
                <w:numId w:val="2"/>
              </w:numPr>
              <w:autoSpaceDN w:val="0"/>
              <w:spacing w:line="280" w:lineRule="exact"/>
              <w:ind w:firstLine="0"/>
              <w:jc w:val="left"/>
              <w:textAlignment w:val="center"/>
              <w:rPr>
                <w:rFonts w:ascii="仿宋_GB2312" w:hAnsi="宋体" w:eastAsia="仿宋_GB2312" w:cs="宋体"/>
                <w:b/>
                <w:color w:val="000000"/>
                <w:kern w:val="0"/>
                <w:sz w:val="24"/>
              </w:rPr>
            </w:pPr>
            <w:r>
              <w:rPr>
                <w:rFonts w:ascii="仿宋_GB2312" w:hAnsi="宋体" w:eastAsia="仿宋_GB2312" w:cs="宋体"/>
                <w:b/>
                <w:color w:val="000000"/>
                <w:kern w:val="0"/>
                <w:sz w:val="24"/>
              </w:rPr>
              <w:t>AMM航线适用性评价标准制定</w:t>
            </w:r>
          </w:p>
          <w:p>
            <w:pPr>
              <w:pStyle w:val="8"/>
              <w:numPr>
                <w:ilvl w:val="0"/>
                <w:numId w:val="3"/>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供应商要依据自身使用ARJ21型号AMM手册的经历，总结ARJ21型号AMM存在的问题，结合航空公司、航空维修企业对AMM的需求、国外机型的AMM优点和差距，初步制定AMM航线适用性评价标准。</w:t>
            </w:r>
          </w:p>
          <w:p>
            <w:pPr>
              <w:pStyle w:val="8"/>
              <w:numPr>
                <w:ilvl w:val="0"/>
                <w:numId w:val="3"/>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航线适用性评价标准应从完整性、准确性、一致性和可操作性的角度进行评价，首先应从航线维修使用需求的角度对这4性提出AMM编写或评价时可以对标、依循的标准条款。最后应对每条标准条款赋予合理的权重，以便于量化计算AMM的评价。初步制定的AMM航线适用性评价标准应通过多种方式进行检验，并在检验中进行修订。</w:t>
            </w:r>
          </w:p>
          <w:p>
            <w:pPr>
              <w:autoSpaceDN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其一，使用制定的AMM航线适用性评价标准对最新版本的ARJ21项目AMM和至少两本波音空客等国际主制造商相似型号AMM进行评价，并根据评价结果和实际使用感受的差异对标准进行修订。</w:t>
            </w:r>
          </w:p>
          <w:p>
            <w:pPr>
              <w:autoSpaceDN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其二，供应商在应用评价标准审查AMM内容的过程中，需检验AMM航线适用性评价标准是否可以指导发现并解决所有的AMM航线适用性问题，并对AMM航线适用性评价标准进行补充、 细化和修订。</w:t>
            </w:r>
          </w:p>
          <w:p>
            <w:pPr>
              <w:autoSpaceDN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其三，使用制定的AMM航线适用性评价标准对最新版本的AMM</w:t>
            </w:r>
            <w:r>
              <w:rPr>
                <w:rFonts w:hint="eastAsia" w:ascii="仿宋_GB2312" w:hAnsi="宋体" w:eastAsia="仿宋_GB2312" w:cs="宋体"/>
                <w:color w:val="000000"/>
                <w:kern w:val="0"/>
                <w:sz w:val="24"/>
              </w:rPr>
              <w:t>进行</w:t>
            </w:r>
            <w:r>
              <w:rPr>
                <w:rFonts w:ascii="仿宋_GB2312" w:hAnsi="宋体" w:eastAsia="仿宋_GB2312" w:cs="宋体"/>
                <w:color w:val="000000"/>
                <w:kern w:val="0"/>
                <w:sz w:val="24"/>
              </w:rPr>
              <w:t>评价，并邀请ARJ21飞机所有用户代表</w:t>
            </w:r>
            <w:r>
              <w:rPr>
                <w:rFonts w:hint="eastAsia" w:ascii="仿宋_GB2312" w:hAnsi="宋体" w:eastAsia="仿宋_GB2312" w:cs="宋体"/>
                <w:color w:val="000000"/>
                <w:kern w:val="0"/>
                <w:sz w:val="24"/>
              </w:rPr>
              <w:t>参会</w:t>
            </w:r>
            <w:r>
              <w:rPr>
                <w:rFonts w:ascii="仿宋_GB2312" w:hAnsi="宋体" w:eastAsia="仿宋_GB2312" w:cs="宋体"/>
                <w:color w:val="000000"/>
                <w:kern w:val="0"/>
                <w:sz w:val="24"/>
              </w:rPr>
              <w:t>对评价结果进行共同评审，确定评价结果与AMM的航线使用感受一致，根据评价结果和实际使用感受的差异对标准进行修订，最终形成AMM航线适用性评价标准， 并编写《AMM航线适用性评价标准报告》，报告除包括AMM航线适用性评价标准外，还应详细记录AMM航线适用性评价标准制定、试用和改进的过程。</w:t>
            </w:r>
          </w:p>
          <w:p>
            <w:pPr>
              <w:pStyle w:val="8"/>
              <w:numPr>
                <w:ilvl w:val="0"/>
                <w:numId w:val="3"/>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供应商使用AMM航线适用性评价标准对经过项目完善后的AMM的各章节进行评价，并形成《AMM-XX章节 XXX评价报告》，报告应包括该章节手册的评分、评分过程和影响评分的主要问题3个部分。</w:t>
            </w:r>
          </w:p>
          <w:p>
            <w:pPr>
              <w:numPr>
                <w:ilvl w:val="0"/>
                <w:numId w:val="2"/>
              </w:numPr>
              <w:autoSpaceDN w:val="0"/>
              <w:spacing w:line="280" w:lineRule="exact"/>
              <w:ind w:firstLine="0"/>
              <w:jc w:val="left"/>
              <w:textAlignment w:val="center"/>
              <w:rPr>
                <w:rFonts w:ascii="仿宋_GB2312" w:hAnsi="宋体" w:eastAsia="仿宋_GB2312" w:cs="宋体"/>
                <w:b/>
                <w:color w:val="000000"/>
                <w:kern w:val="0"/>
                <w:sz w:val="24"/>
              </w:rPr>
            </w:pPr>
            <w:r>
              <w:rPr>
                <w:rFonts w:ascii="仿宋_GB2312" w:hAnsi="宋体" w:eastAsia="仿宋_GB2312" w:cs="宋体"/>
                <w:b/>
                <w:color w:val="000000"/>
                <w:kern w:val="0"/>
                <w:sz w:val="24"/>
              </w:rPr>
              <w:t>AMM内容审查</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1）供应商应根据AMM航线适用性评价标准，参照手册优化审查记录单上的审查点和项目工作相关技术要求的审查标准，制定AMM内容审查的项目技术标准，并得到</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认可。供应商依据AMM内容审查标准，对ARJ21项目AMM及其伴随手册的内容进行技术审查，发现AMM可能存在的航线适用问题并提出改善建议。</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2）供应商收到手册后按计划开展AMM内容审查，由供应商制定相关计划并按计划开展，确保AMM内容审查工作按照项目总体计划的相关节点完成。</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安排1-2名AMM编写人员参与AMM内容审查工作，在现场为供应商提供手册使用、ARJ21飞机工程技术、手册问题初步确认等支持工作。</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4）供应商在手册内容审查过程中提出的问题和修改建议首先以“程序问题清单”的形式，通过</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派驻现场的项目组成员反馈AMM章节主编，待章节主编与供应商审查人员共同确认后，供应商审查人员将最终问题填写在“AMM优化检查单”中作为正式意见，并由AMM章节主编根据“AMM优化检查单”进行修订落实。</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5）在“程序问题清单”的沟通、交流过程中，供应商的审查人员根据手册主编的需求详细说明提出的手册问题和对手册问题修订建议的依据或基于工程实践经验的考虑， 以帮助AMM主编评估问题和建议是否合理．</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6）手册按照审查意见进行修订后，如果需要补充操作验证的，在</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提出验证需求</w:t>
            </w:r>
            <w:r>
              <w:rPr>
                <w:rFonts w:hint="eastAsia" w:ascii="仿宋_GB2312" w:hAnsi="宋体" w:eastAsia="仿宋_GB2312" w:cs="宋体"/>
                <w:color w:val="000000"/>
                <w:kern w:val="0"/>
                <w:sz w:val="24"/>
              </w:rPr>
              <w:t>后</w:t>
            </w:r>
            <w:r>
              <w:rPr>
                <w:rFonts w:ascii="仿宋_GB2312" w:hAnsi="宋体" w:eastAsia="仿宋_GB2312" w:cs="宋体"/>
                <w:color w:val="000000"/>
                <w:kern w:val="0"/>
                <w:sz w:val="24"/>
              </w:rPr>
              <w:t>，由供应商根据验证需求制定验证计划，</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按照验证计划提前发布手册草稿，供应商按时依据手册草稿在ARJ21飞机开展操作验证。</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7）供应商提交的AMM优化检查单由</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按专业对其进行文审验收。</w:t>
            </w:r>
          </w:p>
          <w:p>
            <w:pPr>
              <w:numPr>
                <w:ilvl w:val="0"/>
                <w:numId w:val="2"/>
              </w:numPr>
              <w:autoSpaceDN w:val="0"/>
              <w:spacing w:line="280" w:lineRule="exact"/>
              <w:ind w:firstLine="0"/>
              <w:jc w:val="left"/>
              <w:textAlignment w:val="center"/>
              <w:rPr>
                <w:rFonts w:ascii="仿宋_GB2312" w:hAnsi="宋体" w:eastAsia="仿宋_GB2312" w:cs="宋体"/>
                <w:b/>
                <w:color w:val="000000"/>
                <w:kern w:val="0"/>
                <w:sz w:val="24"/>
              </w:rPr>
            </w:pPr>
            <w:r>
              <w:rPr>
                <w:rFonts w:ascii="仿宋_GB2312" w:hAnsi="宋体" w:eastAsia="仿宋_GB2312" w:cs="宋体"/>
                <w:b/>
                <w:color w:val="000000"/>
                <w:kern w:val="0"/>
                <w:sz w:val="24"/>
              </w:rPr>
              <w:t>AMM完善建议提出</w:t>
            </w:r>
          </w:p>
          <w:p>
            <w:pPr>
              <w:autoSpaceDN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其一</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供应商根据ARJ21型号、类似主流机型手册使用经验对AMM的系统性问题或改进方向提出完善建议，其中12个系统性问题属于</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已发现的、急需解决的问题，包括：</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技术协助：维护后阶差／间隙是否需要重新测量的评估；</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问题：AMM与CMM的分工界面与相互关系；</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问题：AMM应包含哪些工具、耗材、零件信息；</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问题：AMM与ITEM手册在工具信息方面的分工界面；</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问题：可剥垫片等灵活维修标准的表达方式；</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技术协助：ARJ21型号AMM中密封圈的检查和报废要求的评</w:t>
            </w:r>
            <w:r>
              <w:rPr>
                <w:rFonts w:hint="eastAsia" w:ascii="仿宋_GB2312" w:hAnsi="宋体" w:eastAsia="仿宋_GB2312" w:cs="宋体"/>
                <w:color w:val="000000"/>
                <w:kern w:val="0"/>
                <w:sz w:val="24"/>
              </w:rPr>
              <w:t>估；</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问题：LMP是否需要给出拆装程序；</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问题：密封胶带等附带零件更换、拆装信息在AMM中的体现</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问题:让步协议（CR）是否需要在AMM中体现；</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技术协助:ARJ21型号AMM中已有损伤标准放宽的评估；</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技术协助：ARJ21型号AMM中高寒、长停和系留程序的评估；</w:t>
            </w:r>
          </w:p>
          <w:p>
            <w:pPr>
              <w:pStyle w:val="8"/>
              <w:numPr>
                <w:ilvl w:val="0"/>
                <w:numId w:val="4"/>
              </w:numPr>
              <w:autoSpaceDN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问题：AMM的51章和SRM手册的分工界面。</w:t>
            </w:r>
          </w:p>
          <w:p>
            <w:pPr>
              <w:autoSpaceDN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其二</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供应商对这些问题开展研究并编写相关的《AMM完善建议报告》，其余的系统性问题共划分为4个主题，其主题分别为：</w:t>
            </w:r>
          </w:p>
          <w:p>
            <w:pPr>
              <w:pStyle w:val="8"/>
              <w:numPr>
                <w:ilvl w:val="0"/>
                <w:numId w:val="5"/>
              </w:numPr>
              <w:autoSpaceDN w:val="0"/>
              <w:snapToGrid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ARJ21型号AMM信息的完整性；</w:t>
            </w:r>
          </w:p>
          <w:p>
            <w:pPr>
              <w:pStyle w:val="8"/>
              <w:numPr>
                <w:ilvl w:val="0"/>
                <w:numId w:val="5"/>
              </w:numPr>
              <w:autoSpaceDN w:val="0"/>
              <w:snapToGrid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ARJ21型号AMM维修要求的准确性；</w:t>
            </w:r>
          </w:p>
          <w:p>
            <w:pPr>
              <w:pStyle w:val="8"/>
              <w:numPr>
                <w:ilvl w:val="0"/>
                <w:numId w:val="5"/>
              </w:numPr>
              <w:autoSpaceDN w:val="0"/>
              <w:snapToGrid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ARJ21型号AMM的文字与图示；</w:t>
            </w:r>
          </w:p>
          <w:p>
            <w:pPr>
              <w:pStyle w:val="8"/>
              <w:numPr>
                <w:ilvl w:val="0"/>
                <w:numId w:val="5"/>
              </w:numPr>
              <w:autoSpaceDN w:val="0"/>
              <w:snapToGrid w:val="0"/>
              <w:spacing w:line="280" w:lineRule="exact"/>
              <w:ind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ARJ21型号AMM航线的可操作性。</w:t>
            </w:r>
          </w:p>
          <w:p>
            <w:pPr>
              <w:autoSpaceDN w:val="0"/>
              <w:snapToGrid w:val="0"/>
              <w:spacing w:line="280" w:lineRule="exact"/>
              <w:ind w:firstLine="480" w:firstLineChars="20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其三</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供应商根据4个主题开展研究，提出AMM存在的问题，并针对每个主题编写l份相关的《AMM完善建议报告》。每份报告至少编制3万字，除必要的摘要、目录和前言外，正文内容应包含5个方面：</w:t>
            </w:r>
          </w:p>
          <w:p>
            <w:pPr>
              <w:pStyle w:val="8"/>
              <w:numPr>
                <w:ilvl w:val="0"/>
                <w:numId w:val="6"/>
              </w:numPr>
              <w:autoSpaceDN w:val="0"/>
              <w:snapToGrid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AMM在报告研究方面存在的问题，应对AMM存在的问题进行分类，并区分主要问题和次要问题，主要问题应列举2-3个具体事例，次要问题列举1个具体事例。</w:t>
            </w:r>
          </w:p>
          <w:p>
            <w:pPr>
              <w:pStyle w:val="8"/>
              <w:numPr>
                <w:ilvl w:val="0"/>
                <w:numId w:val="6"/>
              </w:numPr>
              <w:autoSpaceDN w:val="0"/>
              <w:snapToGrid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AMM存在的问题对航线使用的影响，例如降低航线维修效率，增加维修事故几率等，并从航线维修成本的角度评估航线影响的程度；</w:t>
            </w:r>
          </w:p>
          <w:p>
            <w:pPr>
              <w:pStyle w:val="8"/>
              <w:numPr>
                <w:ilvl w:val="0"/>
                <w:numId w:val="6"/>
              </w:numPr>
              <w:autoSpaceDN w:val="0"/>
              <w:snapToGrid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类似机型在报告研究方面的经验和存在的问题，参考AMM存在的问题，说明类似机型（波音、空客、庞巴迪或巴西航空中至少选择3家企业的航程、座位数相近的机型）在相关方面的优秀做法，对航线维修的好处，以及其也存在的问题和相关改进计划；</w:t>
            </w:r>
          </w:p>
          <w:p>
            <w:pPr>
              <w:pStyle w:val="8"/>
              <w:numPr>
                <w:ilvl w:val="0"/>
                <w:numId w:val="6"/>
              </w:numPr>
              <w:autoSpaceDN w:val="0"/>
              <w:snapToGrid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AMM对存在的问题应进行怎样的改进</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应针对1）部分所提出的主要问题对应给出改进建议；</w:t>
            </w:r>
          </w:p>
          <w:p>
            <w:pPr>
              <w:pStyle w:val="8"/>
              <w:numPr>
                <w:ilvl w:val="0"/>
                <w:numId w:val="6"/>
              </w:numPr>
              <w:autoSpaceDN w:val="0"/>
              <w:snapToGrid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行业内其他企业对AMM在报告研究方面的评价和改进建议，应当对ARJ21型号的运营航司或维修企业中至少调研4家，其中大型航空公司（南航、国航、东航） l家，支线航空公司2家，飞机维修企业1家。</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其四</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供应商提交的《AMM完善建议报告》由</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组织项目组成员进行文审验收。</w:t>
            </w:r>
          </w:p>
          <w:p>
            <w:pPr>
              <w:numPr>
                <w:ilvl w:val="0"/>
                <w:numId w:val="2"/>
              </w:numPr>
              <w:autoSpaceDN w:val="0"/>
              <w:spacing w:line="280" w:lineRule="exact"/>
              <w:ind w:firstLine="0"/>
              <w:jc w:val="left"/>
              <w:textAlignment w:val="center"/>
              <w:rPr>
                <w:rFonts w:ascii="仿宋_GB2312" w:hAnsi="宋体" w:eastAsia="仿宋_GB2312" w:cs="宋体"/>
                <w:b/>
                <w:color w:val="000000"/>
                <w:kern w:val="0"/>
                <w:sz w:val="24"/>
              </w:rPr>
            </w:pPr>
            <w:r>
              <w:rPr>
                <w:rFonts w:ascii="仿宋_GB2312" w:hAnsi="宋体" w:eastAsia="仿宋_GB2312" w:cs="宋体"/>
                <w:b/>
                <w:color w:val="000000"/>
                <w:kern w:val="0"/>
                <w:sz w:val="24"/>
              </w:rPr>
              <w:t>AMM维修程序验证</w:t>
            </w:r>
          </w:p>
          <w:p>
            <w:pPr>
              <w:pStyle w:val="8"/>
              <w:numPr>
                <w:ilvl w:val="0"/>
                <w:numId w:val="7"/>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对于AMM内容因本项目的审查工作而需要进行的操作验证，由供应商根据</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提出的验证需求，利用自身资源完成所需的操作验证工作。</w:t>
            </w:r>
          </w:p>
          <w:p>
            <w:pPr>
              <w:pStyle w:val="8"/>
              <w:numPr>
                <w:ilvl w:val="0"/>
                <w:numId w:val="7"/>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供应商接到验证需求后编制AMM操作验证计划，并根据操作验证计划准备相关资源和人员。</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按照验证计划安排手册草稿的编制和发布，并在验证计划开展前向供应商提供预发布的程序草稿和操作验证记录单模板。</w:t>
            </w:r>
          </w:p>
          <w:p>
            <w:pPr>
              <w:pStyle w:val="8"/>
              <w:numPr>
                <w:ilvl w:val="0"/>
                <w:numId w:val="7"/>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供应商按项目的技术要求和标准开展维修程序操作验证，在操作验证过程中发现维修程序存在的问题并评价维修程序是否满足航线使用要求，并根据验证过程和验证结论填写验证记录单作为验证交付物。</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指派的项目组成员对每项验证工作目击验证过程，在验证过程中指导供应商验证人员的操作符合项目的技术要求和标准，以及验证记录单的规范填写，同时也对现场的验证开展情况和开展标准进行现场验收，在符合项目要求的验证记录单上签字确认。</w:t>
            </w:r>
          </w:p>
          <w:p>
            <w:pPr>
              <w:pStyle w:val="8"/>
              <w:numPr>
                <w:ilvl w:val="0"/>
                <w:numId w:val="7"/>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若在操作验证中发现维修程序存在问题，由供应商验证人员负责分析问题原因并提出修改建议</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问题原因和修改建议应得到派驻现场的项目组成员的确认，操作验证记录单中的维修程序问题和修订建议参照AMM内容审查意见的路径传递至AMM章节主编并进行落实。落实后的AMM内容按照ARJ21型号AMM验证技术要求的规定判定是否需要再次验证，再次验证仍由供应商按照以上过程完成。</w:t>
            </w:r>
          </w:p>
          <w:p>
            <w:pPr>
              <w:pStyle w:val="8"/>
              <w:numPr>
                <w:ilvl w:val="0"/>
                <w:numId w:val="7"/>
              </w:numPr>
              <w:autoSpaceDE w:val="0"/>
              <w:autoSpaceDN w:val="0"/>
              <w:spacing w:line="280" w:lineRule="exact"/>
              <w:ind w:left="0" w:firstLine="0" w:firstLineChars="0"/>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验证工作全部结束后，由</w:t>
            </w: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项目组经理梳理验证需求提出记录和验证记录单，确保所有有需求的AMM内容均通过验证，验证需求数量不少于 500 项，且所有验证记录单按要求填写和签署。</w:t>
            </w:r>
          </w:p>
          <w:p>
            <w:pPr>
              <w:pStyle w:val="8"/>
              <w:autoSpaceDE w:val="0"/>
              <w:autoSpaceDN w:val="0"/>
              <w:spacing w:line="280" w:lineRule="exact"/>
              <w:ind w:firstLine="0" w:firstLineChars="0"/>
              <w:jc w:val="left"/>
              <w:textAlignment w:val="center"/>
              <w:rPr>
                <w:rFonts w:ascii="仿宋_GB2312" w:hAnsi="宋体" w:eastAsia="仿宋_GB2312" w:cs="宋体"/>
                <w:color w:val="000000"/>
                <w:kern w:val="0"/>
                <w:sz w:val="24"/>
              </w:rPr>
            </w:pPr>
          </w:p>
          <w:p>
            <w:pPr>
              <w:widowControl/>
              <w:autoSpaceDN w:val="0"/>
              <w:snapToGrid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二</w:t>
            </w:r>
            <w:r>
              <w:rPr>
                <w:rFonts w:ascii="仿宋_GB2312" w:hAnsi="宋体" w:eastAsia="仿宋_GB2312" w:cs="宋体"/>
                <w:color w:val="000000"/>
                <w:kern w:val="0"/>
                <w:sz w:val="24"/>
              </w:rPr>
              <w:t>、 项目预期成果</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项目预期成果及交付物如下表2所示。</w:t>
            </w:r>
          </w:p>
          <w:p>
            <w:pPr>
              <w:numPr>
                <w:ilvl w:val="0"/>
                <w:numId w:val="8"/>
              </w:numPr>
              <w:autoSpaceDN w:val="0"/>
              <w:spacing w:line="280" w:lineRule="exact"/>
              <w:ind w:firstLine="0"/>
              <w:jc w:val="center"/>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*项目成果清单</w:t>
            </w:r>
          </w:p>
          <w:tbl>
            <w:tblPr>
              <w:tblStyle w:val="6"/>
              <w:tblW w:w="8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702"/>
              <w:gridCol w:w="165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序号</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成果名称</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成果类型</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《ARJ21项目AMM航线适用性评估设计实施方案》</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设计实施方案</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《AMM内容优化建议记录单》</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工作记录单</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6500</w:t>
                  </w:r>
                  <w:r>
                    <w:rPr>
                      <w:rFonts w:hint="eastAsia" w:ascii="仿宋_GB2312" w:hAnsi="宋体" w:eastAsia="仿宋_GB2312" w:cs="宋体"/>
                      <w:color w:val="000000"/>
                      <w:kern w:val="0"/>
                      <w:sz w:val="24"/>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*3</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《AMM完善建议报告》</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技术报告</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*4</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《AMM验证记录单》</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工作记录单</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*5</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《AMM航线适用性评价标准报告》</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技术报告</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*6</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 – XX 章节XXX评价报告》</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技术报告</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*7</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AMM审查与完善建议总结报告</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技术报告</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04"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*8</w:t>
                  </w:r>
                </w:p>
              </w:tc>
              <w:tc>
                <w:tcPr>
                  <w:tcW w:w="4702"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项目总结报告</w:t>
                  </w:r>
                </w:p>
              </w:tc>
              <w:tc>
                <w:tcPr>
                  <w:tcW w:w="165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技术报告</w:t>
                  </w:r>
                </w:p>
              </w:tc>
              <w:tc>
                <w:tcPr>
                  <w:tcW w:w="963" w:type="dxa"/>
                  <w:vAlign w:val="center"/>
                </w:tcPr>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r>
          </w:tbl>
          <w:p>
            <w:pPr>
              <w:pStyle w:val="8"/>
              <w:autoSpaceDE w:val="0"/>
              <w:autoSpaceDN w:val="0"/>
              <w:spacing w:line="280" w:lineRule="exact"/>
              <w:ind w:firstLine="0" w:firstLineChars="0"/>
              <w:jc w:val="left"/>
              <w:textAlignment w:val="center"/>
              <w:rPr>
                <w:rFonts w:ascii="仿宋_GB2312" w:hAnsi="宋体" w:eastAsia="仿宋_GB2312" w:cs="宋体"/>
                <w:color w:val="000000"/>
                <w:kern w:val="0"/>
                <w:sz w:val="24"/>
              </w:rPr>
            </w:pP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三、</w:t>
            </w:r>
            <w:r>
              <w:rPr>
                <w:rFonts w:ascii="仿宋_GB2312" w:hAnsi="宋体" w:eastAsia="仿宋_GB2312" w:cs="宋体"/>
                <w:color w:val="000000"/>
                <w:kern w:val="0"/>
                <w:sz w:val="24"/>
              </w:rPr>
              <w:t>项目相关</w:t>
            </w:r>
            <w:r>
              <w:rPr>
                <w:rFonts w:hint="eastAsia" w:ascii="仿宋_GB2312" w:hAnsi="宋体" w:eastAsia="仿宋_GB2312" w:cs="宋体"/>
                <w:color w:val="000000"/>
                <w:kern w:val="0"/>
                <w:sz w:val="24"/>
              </w:rPr>
              <w:t>知识</w:t>
            </w:r>
            <w:r>
              <w:rPr>
                <w:rFonts w:ascii="仿宋_GB2312" w:hAnsi="宋体" w:eastAsia="仿宋_GB2312" w:cs="宋体"/>
                <w:color w:val="000000"/>
                <w:kern w:val="0"/>
                <w:sz w:val="24"/>
              </w:rPr>
              <w:t>产权</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背景知识产权</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一方在合同签署前自主开发的知识产权或者获得权利的知识产权，该等知识产权为履行合同所必需的知识产权；或者一方在协议签署后开发或者获得的知识产权，该等知识产权的开发和获得独立于本合同的履行但为履行本合同所必需的知识产权。</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ascii="仿宋_GB2312" w:hAnsi="宋体" w:eastAsia="仿宋_GB2312" w:cs="宋体"/>
                <w:color w:val="000000"/>
                <w:kern w:val="0"/>
                <w:sz w:val="24"/>
              </w:rPr>
              <w:t>前景知识产权</w:t>
            </w:r>
          </w:p>
          <w:p>
            <w:pPr>
              <w:ind w:firstLine="480" w:firstLineChars="200"/>
              <w:rPr>
                <w:rFonts w:ascii="仿宋_GB2312" w:hAnsi="宋体" w:eastAsia="仿宋_GB2312" w:cs="宋体"/>
                <w:color w:val="000000"/>
                <w:kern w:val="0"/>
                <w:sz w:val="24"/>
              </w:rPr>
            </w:pPr>
            <w:r>
              <w:rPr>
                <w:rFonts w:ascii="仿宋_GB2312" w:hAnsi="宋体" w:eastAsia="仿宋_GB2312" w:cs="宋体"/>
                <w:color w:val="000000"/>
                <w:kern w:val="0"/>
                <w:sz w:val="24"/>
              </w:rPr>
              <w:t>因履行本合同而产生或者开发的知识产权。</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r>
              <w:rPr>
                <w:rFonts w:ascii="仿宋_GB2312" w:hAnsi="宋体" w:eastAsia="仿宋_GB2312" w:cs="宋体"/>
                <w:color w:val="000000"/>
                <w:kern w:val="0"/>
                <w:sz w:val="24"/>
              </w:rPr>
              <w:t>不侵权</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供应商陈述并保证，其拥有的背景知识产权、其履行本合同的义务或上海飞机客户服务有限公司使用本合同下交付物或享有交付物的利益不侵犯或不构成对任何第三方的知识产权的侵权或不正当使用。</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如果任何第三方对供应商基于本合同提供的交付物、享有交付物的利益、技术服务和/或技术成果的权利或利益提出主张，或声称该服务或技术成果侵犯或不正当使用其知识产权而向上海飞机客户服务有限公司通过诉讼、仲裁或其他任何司法或行政救济程序提出索赔、主张、请求或其他权利要求，供应商应当就该等索赔、主张、请求或权利要求为上海飞机客户服务有限公司辩护并保证其不受损害，并赔偿上海飞机客户服务有限公司由此产生的任何及所有开支、费用和损失（包括争议解决和合理的律师费用）。</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供应商保证，就上海飞机客户服务有限公司使用、租赁或销售交付物、享有交付物的利益、服务和/或成果不提起任何针对上海飞机客户服务有限公司及其用户的知识产权侵权索赔和诉讼。</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r>
              <w:rPr>
                <w:rFonts w:ascii="仿宋_GB2312" w:hAnsi="宋体" w:eastAsia="仿宋_GB2312" w:cs="宋体"/>
                <w:color w:val="000000"/>
                <w:kern w:val="0"/>
                <w:sz w:val="24"/>
              </w:rPr>
              <w:t>前景知识产权的所有权</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双方同意就履行本合同产生的前景知识产权归上海飞机客户服务有限公司独家所有。</w:t>
            </w:r>
          </w:p>
          <w:p>
            <w:pPr>
              <w:rPr>
                <w:rFonts w:ascii="仿宋_GB2312" w:hAnsi="宋体" w:eastAsia="仿宋_GB2312" w:cs="宋体"/>
                <w:color w:val="000000"/>
                <w:kern w:val="0"/>
                <w:sz w:val="24"/>
              </w:rPr>
            </w:pPr>
            <w:r>
              <w:rPr>
                <w:rFonts w:ascii="仿宋_GB2312" w:hAnsi="宋体" w:eastAsia="仿宋_GB2312" w:cs="宋体"/>
                <w:color w:val="000000"/>
                <w:kern w:val="0"/>
                <w:sz w:val="24"/>
              </w:rPr>
              <w:t>5.许可和使用</w:t>
            </w:r>
          </w:p>
          <w:p>
            <w:pPr>
              <w:pStyle w:val="8"/>
              <w:ind w:firstLine="480"/>
              <w:rPr>
                <w:rFonts w:ascii="仿宋_GB2312" w:hAnsi="宋体" w:eastAsia="仿宋_GB2312" w:cs="宋体"/>
                <w:color w:val="000000"/>
                <w:kern w:val="0"/>
                <w:sz w:val="24"/>
              </w:rPr>
            </w:pPr>
            <w:r>
              <w:rPr>
                <w:rFonts w:hint="eastAsia" w:ascii="仿宋_GB2312" w:hAnsi="宋体" w:eastAsia="仿宋_GB2312" w:cs="宋体"/>
                <w:color w:val="000000"/>
                <w:kern w:val="0"/>
                <w:sz w:val="24"/>
              </w:rPr>
              <w:t>5.1</w:t>
            </w:r>
            <w:r>
              <w:rPr>
                <w:rFonts w:ascii="仿宋_GB2312" w:hAnsi="宋体" w:eastAsia="仿宋_GB2312" w:cs="宋体"/>
                <w:color w:val="000000"/>
                <w:kern w:val="0"/>
                <w:sz w:val="24"/>
              </w:rPr>
              <w:t>为使用前景知识产权或授权他人使用前景知识产权之目的，供应商就其背景知识产权授予上海飞机客户服务有限公司一项非独家的、无限制的、不可撤销的、世界范围内的、免费的、以背景知识产权有效期为限的使用许可。在上海飞机客户服务有限公司及其关联方和用户使用前景知识产权时，供应商不就其背景知识产权（无论是否已经告知上海飞机客户服务有限公司）针对上海飞机客户服务有限公司及其关联方和用户提起任何索赔请求或诉讼。</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5.2如果上海飞机客户服务有限公司由于供应商背景知识产权侵权而被禁止使用前景知识产权，上海飞机客户服务有限公司有权选择要求供应商采取以下措施并承担有关费用：</w:t>
            </w:r>
          </w:p>
          <w:p>
            <w:pPr>
              <w:pStyle w:val="8"/>
              <w:ind w:firstLine="480"/>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确保上海飞机客户服务有限公司为持续使用、经营、销售和许可技术成果获得或使用该相关知识产权的权利而无需承担知识产权侵权责任；或者</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2)在上海飞机客户服务有限公司要求的时间范围内提供不侵权且符合本合同要求的替代解决方案；或者</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3)经上海飞机客户服务有限公司要求，由上海飞机客户服务有限公司退回侵权的交付物、享有交付物的利益和技术成果并且退还上海飞机客户服务有限公司已支付的款项。</w:t>
            </w:r>
          </w:p>
          <w:p>
            <w:pPr>
              <w:pStyle w:val="8"/>
              <w:ind w:firstLine="480"/>
              <w:rPr>
                <w:rFonts w:ascii="仿宋_GB2312" w:hAnsi="宋体" w:eastAsia="仿宋_GB2312" w:cs="宋体"/>
                <w:color w:val="000000"/>
                <w:kern w:val="0"/>
                <w:sz w:val="24"/>
              </w:rPr>
            </w:pPr>
            <w:r>
              <w:rPr>
                <w:rFonts w:ascii="仿宋_GB2312" w:hAnsi="宋体" w:eastAsia="仿宋_GB2312" w:cs="宋体"/>
                <w:color w:val="000000"/>
                <w:kern w:val="0"/>
                <w:sz w:val="24"/>
              </w:rPr>
              <w:t>4)如果因为供应商的违约行为导致上海飞机客户服务有限公司根据本合同的“违约条款”而终止本合同，供应商应当免费授权上海飞机客户服务有限公司使用供应商的背景知识产权和前景知识产权来制造、使用、许诺销售、销售、进口该交付物、享有交付物的利益、服务和/或成果。</w:t>
            </w:r>
          </w:p>
          <w:p>
            <w:pPr>
              <w:pStyle w:val="8"/>
              <w:ind w:firstLine="480"/>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除非经上海飞机客户服务有限公司事先书面许可，供应商（包括但不限于其董事、监事、管理层、代理人、顾问、员工）不得以任何方式使用（包括开发新的知识产权）或许可第三方使用上海飞机客户服务有限公司的知识产权（包括因供应商过错导致第三方使用的情形），也不得以任何方式将上海飞机客户服务有限公司知识产权有关的任何信息透露给第三方。否则，供应商应向上海飞机客户服务有限公司赔偿上海飞机客户服务有限公司因此遭受的一切损失（包括争议解决费用和合理的律师费用）。</w:t>
            </w:r>
          </w:p>
        </w:tc>
      </w:tr>
      <w:tr>
        <w:tblPrEx>
          <w:tblLayout w:type="fixed"/>
          <w:tblCellMar>
            <w:top w:w="0" w:type="dxa"/>
            <w:left w:w="108" w:type="dxa"/>
            <w:bottom w:w="0" w:type="dxa"/>
            <w:right w:w="108" w:type="dxa"/>
          </w:tblCellMar>
        </w:tblPrEx>
        <w:trPr>
          <w:trHeight w:val="1400"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8248" w:type="dxa"/>
            <w:gridSpan w:val="6"/>
            <w:tcBorders>
              <w:top w:val="single" w:color="auto" w:sz="4" w:space="0"/>
              <w:left w:val="nil"/>
              <w:bottom w:val="single" w:color="auto" w:sz="4" w:space="0"/>
              <w:right w:val="single" w:color="auto" w:sz="4" w:space="0"/>
            </w:tcBorders>
            <w:vAlign w:val="center"/>
          </w:tcPr>
          <w:tbl>
            <w:tblPr>
              <w:tblStyle w:val="6"/>
              <w:tblW w:w="8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52"/>
              <w:gridCol w:w="1907"/>
              <w:gridCol w:w="2430"/>
              <w:gridCol w:w="1656"/>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阶段</w:t>
                  </w:r>
                </w:p>
              </w:tc>
              <w:tc>
                <w:tcPr>
                  <w:tcW w:w="952"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任务描述</w:t>
                  </w:r>
                </w:p>
              </w:tc>
              <w:tc>
                <w:tcPr>
                  <w:tcW w:w="1907"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交付成果</w:t>
                  </w:r>
                </w:p>
              </w:tc>
              <w:tc>
                <w:tcPr>
                  <w:tcW w:w="2430" w:type="dxa"/>
                </w:tcPr>
                <w:p>
                  <w:pPr>
                    <w:spacing w:line="360" w:lineRule="auto"/>
                    <w:rPr>
                      <w:rFonts w:ascii="仿宋_GB2312" w:hAnsi="宋体" w:eastAsia="仿宋_GB2312" w:cs="宋体"/>
                      <w:color w:val="000000"/>
                      <w:kern w:val="0"/>
                      <w:sz w:val="24"/>
                    </w:rPr>
                  </w:pPr>
                  <w:r>
                    <w:rPr>
                      <w:rFonts w:ascii="仿宋_GB2312" w:hAnsi="宋体" w:eastAsia="仿宋_GB2312" w:cs="宋体"/>
                      <w:color w:val="000000"/>
                      <w:kern w:val="0"/>
                      <w:sz w:val="24"/>
                    </w:rPr>
                    <w:t>验收标准</w:t>
                  </w:r>
                </w:p>
              </w:tc>
              <w:tc>
                <w:tcPr>
                  <w:tcW w:w="1656"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完成时间</w:t>
                  </w:r>
                </w:p>
              </w:tc>
              <w:tc>
                <w:tcPr>
                  <w:tcW w:w="621"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952"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项目启动</w:t>
                  </w:r>
                </w:p>
              </w:tc>
              <w:tc>
                <w:tcPr>
                  <w:tcW w:w="1907" w:type="dxa"/>
                  <w:vAlign w:val="center"/>
                </w:tcPr>
                <w:p>
                  <w:pPr>
                    <w:spacing w:line="360" w:lineRule="auto"/>
                    <w:rPr>
                      <w:rFonts w:ascii="仿宋_GB2312" w:hAnsi="宋体" w:eastAsia="仿宋_GB2312" w:cs="宋体"/>
                      <w:color w:val="000000"/>
                      <w:kern w:val="0"/>
                      <w:sz w:val="24"/>
                    </w:rPr>
                  </w:pPr>
                  <w:r>
                    <w:rPr>
                      <w:rFonts w:ascii="仿宋_GB2312" w:hAnsi="宋体" w:eastAsia="仿宋_GB2312" w:cs="宋体"/>
                      <w:color w:val="000000"/>
                      <w:kern w:val="0"/>
                      <w:sz w:val="24"/>
                    </w:rPr>
                    <w:t>《ARJ21项目AMM航线适用性评估项目设计实施方案》</w:t>
                  </w:r>
                </w:p>
              </w:tc>
              <w:tc>
                <w:tcPr>
                  <w:tcW w:w="2430" w:type="dxa"/>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w:t>
                  </w:r>
                </w:p>
              </w:tc>
              <w:tc>
                <w:tcPr>
                  <w:tcW w:w="1656"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T1(</w:t>
                  </w:r>
                  <w:r>
                    <w:rPr>
                      <w:rFonts w:hint="eastAsia" w:ascii="等线" w:hAnsi="等线" w:eastAsia="等线" w:cs="宋体"/>
                      <w:kern w:val="0"/>
                      <w:szCs w:val="21"/>
                    </w:rPr>
                    <w:t>合同签署</w:t>
                  </w:r>
                  <w:r>
                    <w:rPr>
                      <w:rFonts w:ascii="仿宋_GB2312" w:hAnsi="宋体" w:eastAsia="仿宋_GB2312" w:cs="宋体"/>
                      <w:color w:val="000000"/>
                      <w:kern w:val="0"/>
                      <w:sz w:val="24"/>
                    </w:rPr>
                    <w:t>+30(日</w:t>
                  </w:r>
                  <w:r>
                    <w:rPr>
                      <w:rFonts w:hint="eastAsia" w:ascii="等线" w:hAnsi="等线" w:eastAsia="等线" w:cs="宋体"/>
                      <w:kern w:val="0"/>
                      <w:szCs w:val="21"/>
                    </w:rPr>
                    <w:t>）)</w:t>
                  </w:r>
                </w:p>
                <w:p>
                  <w:pPr>
                    <w:rPr>
                      <w:rFonts w:ascii="等线" w:hAnsi="等线" w:eastAsia="等线" w:cs="宋体"/>
                      <w:kern w:val="0"/>
                      <w:szCs w:val="21"/>
                    </w:rPr>
                  </w:pP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及评审</w:t>
                  </w:r>
                </w:p>
              </w:tc>
              <w:tc>
                <w:tcPr>
                  <w:tcW w:w="621" w:type="dxa"/>
                  <w:vAlign w:val="center"/>
                </w:tcPr>
                <w:p>
                  <w:pPr>
                    <w:spacing w:line="360" w:lineRule="auto"/>
                    <w:jc w:val="center"/>
                    <w:rPr>
                      <w:rFonts w:ascii="仿宋_GB2312" w:hAnsi="宋体" w:eastAsia="仿宋_GB2312" w:cs="宋体"/>
                      <w:color w:val="000000"/>
                      <w:kern w:val="0"/>
                      <w:sz w:val="24"/>
                    </w:rPr>
                  </w:pPr>
                  <w:r>
                    <w:rPr>
                      <w:rFonts w:ascii="仿宋_GB2312" w:hAnsi="宋体" w:eastAsia="仿宋_GB2312" w:cs="宋体"/>
                      <w:color w:val="000000"/>
                      <w:kern w:val="0"/>
                      <w:sz w:val="24"/>
                    </w:rPr>
                    <w:t>设计方案评审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技术标准制定</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完成AMM航线适用性评价标准初步制定</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完成AMM内容审查项目技术标准制定</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评估合格，</w:t>
                  </w:r>
                  <w:r>
                    <w:rPr>
                      <w:rFonts w:hint="eastAsia" w:ascii="仿宋_GB2312" w:hAnsi="宋体" w:eastAsia="仿宋_GB2312" w:cs="宋体"/>
                      <w:color w:val="000000"/>
                      <w:kern w:val="0"/>
                      <w:sz w:val="24"/>
                    </w:rPr>
                    <w:t>并</w:t>
                  </w:r>
                  <w:r>
                    <w:rPr>
                      <w:rFonts w:ascii="仿宋_GB2312" w:hAnsi="宋体" w:eastAsia="仿宋_GB2312" w:cs="宋体"/>
                      <w:color w:val="000000"/>
                      <w:kern w:val="0"/>
                      <w:sz w:val="24"/>
                    </w:rPr>
                    <w:t>出具阶段验收说明。</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1.初步制定的AMM航线适用性评价标准合理可靠</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2.AMM内容审查项目技术标准合理有效</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T2=T1+30(日)</w:t>
                  </w: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及验收</w:t>
                  </w:r>
                </w:p>
              </w:tc>
              <w:tc>
                <w:tcPr>
                  <w:tcW w:w="621" w:type="dxa"/>
                  <w:vAlign w:val="center"/>
                </w:tcPr>
                <w:p>
                  <w:pPr>
                    <w:spacing w:line="360" w:lineRule="auto"/>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3</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手册内容审查与验证（总量60%）</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《AMM内容优化建议记录单》</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《AMM完善建议报告》</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《AMM验证记录单》</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评估合格，</w:t>
                  </w:r>
                  <w:r>
                    <w:rPr>
                      <w:rFonts w:hint="eastAsia" w:ascii="仿宋_GB2312" w:hAnsi="宋体" w:eastAsia="仿宋_GB2312" w:cs="宋体"/>
                      <w:color w:val="000000"/>
                      <w:kern w:val="0"/>
                      <w:sz w:val="24"/>
                    </w:rPr>
                    <w:t>并</w:t>
                  </w:r>
                  <w:r>
                    <w:rPr>
                      <w:rFonts w:ascii="仿宋_GB2312" w:hAnsi="宋体" w:eastAsia="仿宋_GB2312" w:cs="宋体"/>
                      <w:color w:val="000000"/>
                      <w:kern w:val="0"/>
                      <w:sz w:val="24"/>
                    </w:rPr>
                    <w:t>出具阶段验收说明。</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1.手册内容审查和验证量满足合同要求</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2.合同规定的全部交付内容通过文审</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3.内容优化建议记录单和验证记录单填写完整规范</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4.完成完善建议报告</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T3=T2+6(月)</w:t>
                  </w:r>
                </w:p>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及评审</w:t>
                  </w:r>
                </w:p>
              </w:tc>
              <w:tc>
                <w:tcPr>
                  <w:tcW w:w="621"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中期评审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4</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手册内容审查与验证（总量40%）</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《AMM内容优化建议记录单》</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《AMM完善建议报告》</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《AMM验证记录单》</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评估合格，</w:t>
                  </w:r>
                  <w:r>
                    <w:rPr>
                      <w:rFonts w:hint="eastAsia" w:ascii="仿宋_GB2312" w:hAnsi="宋体" w:eastAsia="仿宋_GB2312" w:cs="宋体"/>
                      <w:color w:val="000000"/>
                      <w:kern w:val="0"/>
                      <w:sz w:val="24"/>
                    </w:rPr>
                    <w:t>并</w:t>
                  </w:r>
                  <w:r>
                    <w:rPr>
                      <w:rFonts w:ascii="仿宋_GB2312" w:hAnsi="宋体" w:eastAsia="仿宋_GB2312" w:cs="宋体"/>
                      <w:color w:val="000000"/>
                      <w:kern w:val="0"/>
                      <w:sz w:val="24"/>
                    </w:rPr>
                    <w:t>出具阶段验收说明。</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1.手册内容审查和验证量满足合同要求</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2.合同规定的全部交付内容通过文审</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3.内容优化建议记录单和验证记录单填写完整规范</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4.完成完善建议报告</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T4=T3+4(月)</w:t>
                  </w:r>
                </w:p>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及验收</w:t>
                  </w:r>
                </w:p>
              </w:tc>
              <w:tc>
                <w:tcPr>
                  <w:tcW w:w="621" w:type="dxa"/>
                  <w:vAlign w:val="center"/>
                </w:tcPr>
                <w:p>
                  <w:pPr>
                    <w:spacing w:line="360" w:lineRule="auto"/>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5</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手册评价标准制定与评审</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《AMM航线适用性评价标准报告》</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邀请ARJ21用户进行评审，按照评审结果进行验收。</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1.AMM航线适用性评价标准对AMM的各章节进行了评价；</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2.航线适用性评价标准包括了对AMM手册各章节的全面评估</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T5=T4+60(日)</w:t>
                  </w:r>
                </w:p>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及验收</w:t>
                  </w:r>
                </w:p>
              </w:tc>
              <w:tc>
                <w:tcPr>
                  <w:tcW w:w="621" w:type="dxa"/>
                  <w:vAlign w:val="center"/>
                </w:tcPr>
                <w:p>
                  <w:pPr>
                    <w:spacing w:line="360" w:lineRule="auto"/>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6</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手册评价</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《AMM-XX章节XXX评价报告》</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评估合格，</w:t>
                  </w:r>
                  <w:r>
                    <w:rPr>
                      <w:rFonts w:hint="eastAsia" w:ascii="仿宋_GB2312" w:hAnsi="宋体" w:eastAsia="仿宋_GB2312" w:cs="宋体"/>
                      <w:color w:val="000000"/>
                      <w:kern w:val="0"/>
                      <w:sz w:val="24"/>
                    </w:rPr>
                    <w:t>并</w:t>
                  </w:r>
                  <w:r>
                    <w:rPr>
                      <w:rFonts w:ascii="仿宋_GB2312" w:hAnsi="宋体" w:eastAsia="仿宋_GB2312" w:cs="宋体"/>
                      <w:color w:val="000000"/>
                      <w:kern w:val="0"/>
                      <w:sz w:val="24"/>
                    </w:rPr>
                    <w:t>出具阶段验收说明。</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1.评价报告包括AMM手册各章节的评分、评分过程和影响评分的主要问题；</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2.评价报告内容合理可靠，完整准确。</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T6=T5+30(日)</w:t>
                  </w:r>
                </w:p>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及验收</w:t>
                  </w:r>
                </w:p>
              </w:tc>
              <w:tc>
                <w:tcPr>
                  <w:tcW w:w="621" w:type="dxa"/>
                  <w:vAlign w:val="center"/>
                </w:tcPr>
                <w:p>
                  <w:pPr>
                    <w:spacing w:line="360" w:lineRule="auto"/>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7</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最终成果评审</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所有交付物评审及评审意见</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对上述交付物进行全面评估，评估合格，出具最终评审说明。</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所有技术报告和工作记录单内容完整准确，实施方案详细具体。</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T7=T6+30(日)</w:t>
                  </w:r>
                  <w:r>
                    <w:rPr>
                      <w:rFonts w:hint="eastAsia" w:ascii="仿宋_GB2312" w:hAnsi="宋体" w:eastAsia="仿宋_GB2312" w:cs="宋体"/>
                      <w:color w:val="000000"/>
                      <w:kern w:val="0"/>
                      <w:sz w:val="24"/>
                    </w:rPr>
                    <w:t>完成</w:t>
                  </w:r>
                  <w:r>
                    <w:rPr>
                      <w:rFonts w:hint="eastAsia" w:ascii="仿宋_GB2312" w:eastAsia="仿宋_GB2312" w:cs="宋体"/>
                      <w:color w:val="000000"/>
                      <w:kern w:val="0"/>
                      <w:sz w:val="24"/>
                    </w:rPr>
                    <w:t>验收</w:t>
                  </w:r>
                </w:p>
              </w:tc>
              <w:tc>
                <w:tcPr>
                  <w:tcW w:w="621"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最终成果评审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8</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项目验收</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《AMM审查与完善建议总结报告》</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《项目总结报告》</w:t>
                  </w:r>
                </w:p>
              </w:tc>
              <w:tc>
                <w:tcPr>
                  <w:tcW w:w="2430" w:type="dxa"/>
                </w:tcPr>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r>
                    <w:rPr>
                      <w:rFonts w:ascii="仿宋_GB2312" w:hAnsi="宋体" w:eastAsia="仿宋_GB2312" w:cs="宋体"/>
                      <w:color w:val="000000"/>
                      <w:kern w:val="0"/>
                      <w:sz w:val="24"/>
                    </w:rPr>
                    <w:t>评估合格，出具最终验收说明。</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1.完成AMM审查与完善建议总结报告，报告合理可靠，完整准确</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2.完成项目总结报告</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T8=T7+30(日)</w:t>
                  </w:r>
                </w:p>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完成成果交付</w:t>
                  </w:r>
                  <w:r>
                    <w:rPr>
                      <w:rFonts w:hint="eastAsia" w:ascii="仿宋_GB2312" w:eastAsia="仿宋_GB2312" w:cs="宋体"/>
                      <w:color w:val="000000"/>
                      <w:kern w:val="0"/>
                      <w:sz w:val="24"/>
                    </w:rPr>
                    <w:t>及验收</w:t>
                  </w:r>
                </w:p>
              </w:tc>
              <w:tc>
                <w:tcPr>
                  <w:tcW w:w="621"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9</w:t>
                  </w:r>
                </w:p>
              </w:tc>
              <w:tc>
                <w:tcPr>
                  <w:tcW w:w="952"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质保期</w:t>
                  </w:r>
                </w:p>
              </w:tc>
              <w:tc>
                <w:tcPr>
                  <w:tcW w:w="1907"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w:t>
                  </w:r>
                </w:p>
              </w:tc>
              <w:tc>
                <w:tcPr>
                  <w:tcW w:w="2430" w:type="dxa"/>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质保期未发现项目实施的明显质量问题（数据造假等）；</w:t>
                  </w:r>
                </w:p>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及时解答项目相关问题，并提供所需支持。</w:t>
                  </w:r>
                </w:p>
              </w:tc>
              <w:tc>
                <w:tcPr>
                  <w:tcW w:w="1656"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T8+1(年)</w:t>
                  </w:r>
                </w:p>
              </w:tc>
              <w:tc>
                <w:tcPr>
                  <w:tcW w:w="621" w:type="dxa"/>
                  <w:vAlign w:val="center"/>
                </w:tcPr>
                <w:p>
                  <w:pPr>
                    <w:spacing w:line="360" w:lineRule="auto"/>
                    <w:jc w:val="left"/>
                    <w:rPr>
                      <w:rFonts w:ascii="仿宋_GB2312" w:hAnsi="宋体" w:eastAsia="仿宋_GB2312" w:cs="宋体"/>
                      <w:color w:val="000000"/>
                      <w:kern w:val="0"/>
                      <w:sz w:val="24"/>
                    </w:rPr>
                  </w:pPr>
                  <w:r>
                    <w:rPr>
                      <w:rFonts w:ascii="仿宋_GB2312" w:hAnsi="宋体" w:eastAsia="仿宋_GB2312" w:cs="宋体"/>
                      <w:color w:val="000000"/>
                      <w:kern w:val="0"/>
                      <w:sz w:val="24"/>
                    </w:rPr>
                    <w:t>质保期</w:t>
                  </w:r>
                </w:p>
              </w:tc>
            </w:tr>
          </w:tbl>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pStyle w:val="8"/>
              <w:ind w:firstLine="480"/>
              <w:rPr>
                <w:rFonts w:ascii="仿宋_GB2312" w:hAnsi="宋体" w:eastAsia="仿宋_GB2312" w:cs="宋体"/>
                <w:color w:val="000000"/>
                <w:kern w:val="0"/>
                <w:sz w:val="24"/>
              </w:rPr>
            </w:pPr>
            <w:r>
              <w:rPr>
                <w:rFonts w:hint="eastAsia" w:ascii="仿宋_GB2312" w:hAnsi="宋体" w:eastAsia="仿宋_GB2312" w:cs="宋体"/>
                <w:color w:val="000000"/>
                <w:kern w:val="0"/>
                <w:sz w:val="24"/>
              </w:rPr>
              <w:t>除非另有额外规定，付款方式及条件如下：</w:t>
            </w:r>
          </w:p>
          <w:p>
            <w:pPr>
              <w:pStyle w:val="8"/>
              <w:ind w:firstLine="360" w:firstLineChars="150"/>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rPr>
              <w:tab/>
            </w:r>
            <w:r>
              <w:rPr>
                <w:rFonts w:hint="eastAsia" w:ascii="仿宋_GB2312" w:hAnsi="宋体" w:eastAsia="仿宋_GB2312" w:cs="宋体"/>
                <w:color w:val="000000"/>
                <w:kern w:val="0"/>
                <w:sz w:val="24"/>
              </w:rPr>
              <w:t>第一阶段付款：供应商完成《ARJ21项目AMM航线</w:t>
            </w:r>
            <w:r>
              <w:rPr>
                <w:rFonts w:ascii="仿宋_GB2312" w:hAnsi="宋体" w:eastAsia="仿宋_GB2312" w:cs="宋体"/>
                <w:color w:val="000000"/>
                <w:kern w:val="0"/>
                <w:sz w:val="24"/>
              </w:rPr>
              <w:t>适用性评估设计实施方案》</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适用性评价</w:t>
            </w:r>
            <w:r>
              <w:rPr>
                <w:rFonts w:hint="eastAsia" w:ascii="仿宋_GB2312" w:hAnsi="宋体" w:eastAsia="仿宋_GB2312" w:cs="宋体"/>
                <w:color w:val="000000"/>
                <w:kern w:val="0"/>
                <w:sz w:val="24"/>
              </w:rPr>
              <w:t>技术标准的初步制定及AMM内容</w:t>
            </w:r>
            <w:r>
              <w:rPr>
                <w:rFonts w:ascii="仿宋_GB2312" w:hAnsi="宋体" w:eastAsia="仿宋_GB2312" w:cs="宋体"/>
                <w:color w:val="000000"/>
                <w:kern w:val="0"/>
                <w:sz w:val="24"/>
              </w:rPr>
              <w:t>审查项目技术标准制定</w:t>
            </w:r>
            <w:r>
              <w:rPr>
                <w:rFonts w:hint="eastAsia" w:ascii="仿宋_GB2312" w:hAnsi="宋体" w:eastAsia="仿宋_GB2312" w:cs="宋体"/>
                <w:color w:val="000000"/>
                <w:kern w:val="0"/>
                <w:sz w:val="24"/>
              </w:rPr>
              <w:t>，并通过上海飞机客户服务有限公司</w:t>
            </w:r>
            <w:r>
              <w:rPr>
                <w:rFonts w:ascii="仿宋_GB2312" w:hAnsi="宋体" w:eastAsia="仿宋_GB2312" w:cs="宋体"/>
                <w:color w:val="000000"/>
                <w:kern w:val="0"/>
                <w:sz w:val="24"/>
              </w:rPr>
              <w:t>的</w:t>
            </w:r>
            <w:r>
              <w:rPr>
                <w:rFonts w:hint="eastAsia" w:ascii="仿宋_GB2312" w:hAnsi="宋体" w:eastAsia="仿宋_GB2312" w:cs="宋体"/>
                <w:color w:val="000000"/>
                <w:kern w:val="0"/>
                <w:sz w:val="24"/>
              </w:rPr>
              <w:t>阶段评审。上海飞机客户服务有限公司对相关文档验收合格后25个工作日内支付合同价款10%。</w:t>
            </w:r>
          </w:p>
          <w:p>
            <w:pPr>
              <w:pStyle w:val="8"/>
              <w:numPr>
                <w:ilvl w:val="0"/>
                <w:numId w:val="9"/>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合同价款</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的合法有效的增值税专用发票；</w:t>
            </w:r>
          </w:p>
          <w:p>
            <w:pPr>
              <w:pStyle w:val="8"/>
              <w:numPr>
                <w:ilvl w:val="0"/>
                <w:numId w:val="9"/>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合同约定的交付物；</w:t>
            </w:r>
          </w:p>
          <w:p>
            <w:pPr>
              <w:pStyle w:val="8"/>
              <w:numPr>
                <w:ilvl w:val="0"/>
                <w:numId w:val="9"/>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双方确认的验收报告。</w:t>
            </w:r>
          </w:p>
          <w:p>
            <w:pPr>
              <w:pStyle w:val="8"/>
              <w:ind w:firstLine="480"/>
            </w:pPr>
            <w:r>
              <w:rPr>
                <w:rFonts w:hint="eastAsia" w:ascii="仿宋_GB2312" w:hAnsi="宋体" w:eastAsia="仿宋_GB2312" w:cs="宋体"/>
                <w:color w:val="000000"/>
                <w:kern w:val="0"/>
                <w:sz w:val="24"/>
              </w:rPr>
              <w:t>(2)第二阶段付款：供应商完成手册内容审查与验证内容及《AMM航线</w:t>
            </w:r>
            <w:r>
              <w:rPr>
                <w:rFonts w:ascii="仿宋_GB2312" w:hAnsi="宋体" w:eastAsia="仿宋_GB2312" w:cs="宋体"/>
                <w:color w:val="000000"/>
                <w:kern w:val="0"/>
                <w:sz w:val="24"/>
              </w:rPr>
              <w:t>适用性评价</w:t>
            </w:r>
            <w:r>
              <w:rPr>
                <w:rFonts w:hint="eastAsia" w:ascii="仿宋_GB2312" w:hAnsi="宋体" w:eastAsia="仿宋_GB2312" w:cs="宋体"/>
                <w:color w:val="000000"/>
                <w:kern w:val="0"/>
                <w:sz w:val="24"/>
              </w:rPr>
              <w:t>标准</w:t>
            </w:r>
            <w:r>
              <w:rPr>
                <w:rFonts w:ascii="仿宋_GB2312" w:hAnsi="宋体" w:eastAsia="仿宋_GB2312" w:cs="宋体"/>
                <w:color w:val="000000"/>
                <w:kern w:val="0"/>
                <w:sz w:val="24"/>
              </w:rPr>
              <w:t>报告》</w:t>
            </w:r>
            <w:r>
              <w:rPr>
                <w:rFonts w:hint="eastAsia" w:ascii="仿宋_GB2312" w:hAnsi="宋体" w:eastAsia="仿宋_GB2312" w:cs="宋体"/>
                <w:color w:val="000000"/>
                <w:kern w:val="0"/>
                <w:sz w:val="24"/>
              </w:rPr>
              <w:t>最终</w:t>
            </w:r>
            <w:r>
              <w:rPr>
                <w:rFonts w:ascii="仿宋_GB2312" w:hAnsi="宋体" w:eastAsia="仿宋_GB2312" w:cs="宋体"/>
                <w:color w:val="000000"/>
                <w:kern w:val="0"/>
                <w:sz w:val="24"/>
              </w:rPr>
              <w:t>版</w:t>
            </w:r>
            <w:r>
              <w:rPr>
                <w:rFonts w:hint="eastAsia" w:ascii="仿宋_GB2312" w:hAnsi="宋体" w:eastAsia="仿宋_GB2312" w:cs="宋体"/>
                <w:color w:val="000000"/>
                <w:kern w:val="0"/>
                <w:sz w:val="24"/>
              </w:rPr>
              <w:t>。上海飞机客户服务有限公司对该阶段成果进行验收合格后25个工作日内支付合同价款60%。</w:t>
            </w:r>
          </w:p>
          <w:p>
            <w:pPr>
              <w:pStyle w:val="8"/>
              <w:numPr>
                <w:ilvl w:val="0"/>
                <w:numId w:val="10"/>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合同价款</w:t>
            </w:r>
            <w:r>
              <w:rPr>
                <w:rFonts w:ascii="仿宋_GB2312" w:hAnsi="宋体" w:eastAsia="仿宋_GB2312" w:cs="宋体"/>
                <w:color w:val="000000"/>
                <w:kern w:val="0"/>
                <w:sz w:val="24"/>
              </w:rPr>
              <w:t>60%</w:t>
            </w:r>
            <w:r>
              <w:rPr>
                <w:rFonts w:hint="eastAsia" w:ascii="仿宋_GB2312" w:hAnsi="宋体" w:eastAsia="仿宋_GB2312" w:cs="宋体"/>
                <w:color w:val="000000"/>
                <w:kern w:val="0"/>
                <w:sz w:val="24"/>
              </w:rPr>
              <w:t>的合法有效的增值税专用发票；</w:t>
            </w:r>
          </w:p>
          <w:p>
            <w:pPr>
              <w:pStyle w:val="8"/>
              <w:numPr>
                <w:ilvl w:val="0"/>
                <w:numId w:val="10"/>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合同约定的交付物；</w:t>
            </w:r>
          </w:p>
          <w:p>
            <w:pPr>
              <w:pStyle w:val="8"/>
              <w:numPr>
                <w:ilvl w:val="0"/>
                <w:numId w:val="10"/>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双方确认的验收报告。</w:t>
            </w:r>
          </w:p>
          <w:p>
            <w:pPr>
              <w:pStyle w:val="8"/>
              <w:ind w:firstLine="480"/>
              <w:rPr>
                <w:rFonts w:ascii="仿宋_GB2312" w:hAnsi="宋体" w:eastAsia="仿宋_GB2312" w:cs="宋体"/>
                <w:color w:val="000000"/>
                <w:kern w:val="0"/>
                <w:sz w:val="24"/>
              </w:rPr>
            </w:pPr>
            <w:r>
              <w:rPr>
                <w:rFonts w:hint="eastAsia" w:ascii="仿宋_GB2312" w:hAnsi="宋体" w:eastAsia="仿宋_GB2312" w:cs="宋体"/>
                <w:color w:val="000000"/>
                <w:kern w:val="0"/>
                <w:sz w:val="24"/>
              </w:rPr>
              <w:t>(3)第三阶段付款：供应商完成项目最终成果评审及</w:t>
            </w:r>
            <w:r>
              <w:rPr>
                <w:rFonts w:ascii="仿宋_GB2312" w:hAnsi="宋体" w:eastAsia="仿宋_GB2312" w:cs="宋体"/>
                <w:color w:val="000000"/>
                <w:kern w:val="0"/>
                <w:sz w:val="24"/>
              </w:rPr>
              <w:t>项目验收阶段工作</w:t>
            </w:r>
            <w:r>
              <w:rPr>
                <w:rFonts w:hint="eastAsia" w:ascii="仿宋_GB2312" w:hAnsi="宋体" w:eastAsia="仿宋_GB2312" w:cs="宋体"/>
                <w:color w:val="000000"/>
                <w:kern w:val="0"/>
                <w:sz w:val="24"/>
              </w:rPr>
              <w:t>，并经上海飞机客户服务有限公司最终验收合格后25个工作日内支付合同价款20%。</w:t>
            </w:r>
          </w:p>
          <w:p>
            <w:pPr>
              <w:pStyle w:val="8"/>
              <w:numPr>
                <w:ilvl w:val="0"/>
                <w:numId w:val="11"/>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合同价款</w:t>
            </w:r>
            <w:r>
              <w:rPr>
                <w:rFonts w:ascii="仿宋_GB2312" w:hAnsi="宋体" w:eastAsia="仿宋_GB2312" w:cs="宋体"/>
                <w:color w:val="000000"/>
                <w:kern w:val="0"/>
                <w:sz w:val="24"/>
              </w:rPr>
              <w:t>20%</w:t>
            </w:r>
            <w:r>
              <w:rPr>
                <w:rFonts w:hint="eastAsia" w:ascii="仿宋_GB2312" w:hAnsi="宋体" w:eastAsia="仿宋_GB2312" w:cs="宋体"/>
                <w:color w:val="000000"/>
                <w:kern w:val="0"/>
                <w:sz w:val="24"/>
              </w:rPr>
              <w:t>的合法有效的增值税专用发票；</w:t>
            </w:r>
          </w:p>
          <w:p>
            <w:pPr>
              <w:pStyle w:val="8"/>
              <w:numPr>
                <w:ilvl w:val="0"/>
                <w:numId w:val="11"/>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合同约定的交付物；</w:t>
            </w:r>
          </w:p>
          <w:p>
            <w:pPr>
              <w:pStyle w:val="8"/>
              <w:numPr>
                <w:ilvl w:val="0"/>
                <w:numId w:val="11"/>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双方确认的验收报告。</w:t>
            </w:r>
          </w:p>
          <w:p>
            <w:pPr>
              <w:pStyle w:val="13"/>
              <w:ind w:firstLine="480"/>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szCs w:val="24"/>
              </w:rPr>
              <w:t>第四阶段付款：最终验收通过后一年的质量保证期内，供应商全面履行合同约定的质保工作，满足下列条件后，采购方于25个工作日内支付合同价款10%的质量保证金：</w:t>
            </w:r>
          </w:p>
          <w:p>
            <w:pPr>
              <w:pStyle w:val="8"/>
              <w:numPr>
                <w:ilvl w:val="0"/>
                <w:numId w:val="12"/>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合同价款</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的合法有效的增值税专用发票；</w:t>
            </w:r>
          </w:p>
          <w:p>
            <w:pPr>
              <w:pStyle w:val="8"/>
              <w:numPr>
                <w:ilvl w:val="0"/>
                <w:numId w:val="12"/>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质保期未发现项目实施的明显质量问题（数据造假等）；</w:t>
            </w:r>
          </w:p>
          <w:p>
            <w:pPr>
              <w:pStyle w:val="8"/>
              <w:numPr>
                <w:ilvl w:val="0"/>
                <w:numId w:val="12"/>
              </w:numPr>
              <w:ind w:firstLineChars="0"/>
              <w:rPr>
                <w:rFonts w:ascii="仿宋_GB2312" w:hAnsi="宋体" w:eastAsia="仿宋_GB2312" w:cs="宋体"/>
                <w:color w:val="000000"/>
                <w:kern w:val="0"/>
                <w:sz w:val="24"/>
              </w:rPr>
            </w:pPr>
            <w:r>
              <w:rPr>
                <w:rFonts w:hint="eastAsia" w:ascii="仿宋_GB2312" w:hAnsi="宋体" w:eastAsia="仿宋_GB2312" w:cs="宋体"/>
                <w:color w:val="000000"/>
                <w:kern w:val="0"/>
                <w:sz w:val="24"/>
              </w:rPr>
              <w:t>质保要求：最终</w:t>
            </w:r>
            <w:r>
              <w:rPr>
                <w:rFonts w:ascii="仿宋_GB2312" w:hAnsi="宋体" w:eastAsia="仿宋_GB2312" w:cs="宋体"/>
                <w:color w:val="000000"/>
                <w:kern w:val="0"/>
                <w:sz w:val="24"/>
              </w:rPr>
              <w:t>验收</w:t>
            </w:r>
            <w:r>
              <w:rPr>
                <w:rFonts w:hint="eastAsia" w:ascii="仿宋_GB2312" w:hAnsi="宋体" w:eastAsia="仿宋_GB2312" w:cs="宋体"/>
                <w:color w:val="000000"/>
                <w:kern w:val="0"/>
                <w:sz w:val="24"/>
              </w:rPr>
              <w:t>通过</w:t>
            </w:r>
            <w:r>
              <w:rPr>
                <w:rFonts w:ascii="仿宋_GB2312" w:hAnsi="宋体" w:eastAsia="仿宋_GB2312" w:cs="宋体"/>
                <w:color w:val="000000"/>
                <w:kern w:val="0"/>
                <w:sz w:val="24"/>
              </w:rPr>
              <w:t>后</w:t>
            </w:r>
            <w:r>
              <w:rPr>
                <w:rFonts w:hint="eastAsia" w:ascii="仿宋_GB2312" w:hAnsi="宋体" w:eastAsia="仿宋_GB2312" w:cs="宋体"/>
                <w:color w:val="000000"/>
                <w:kern w:val="0"/>
                <w:sz w:val="24"/>
              </w:rPr>
              <w:t>至少</w:t>
            </w:r>
            <w:r>
              <w:rPr>
                <w:rFonts w:ascii="仿宋_GB2312" w:hAnsi="宋体" w:eastAsia="仿宋_GB2312" w:cs="宋体"/>
                <w:color w:val="000000"/>
                <w:kern w:val="0"/>
                <w:sz w:val="24"/>
              </w:rPr>
              <w:t>提供12</w:t>
            </w:r>
            <w:r>
              <w:rPr>
                <w:rFonts w:hint="eastAsia" w:ascii="仿宋_GB2312" w:hAnsi="宋体" w:eastAsia="仿宋_GB2312" w:cs="宋体"/>
                <w:color w:val="000000"/>
                <w:kern w:val="0"/>
                <w:sz w:val="24"/>
              </w:rPr>
              <w:t>个</w:t>
            </w:r>
            <w:r>
              <w:rPr>
                <w:rFonts w:ascii="仿宋_GB2312" w:hAnsi="宋体" w:eastAsia="仿宋_GB2312" w:cs="宋体"/>
                <w:color w:val="000000"/>
                <w:kern w:val="0"/>
                <w:sz w:val="24"/>
              </w:rPr>
              <w:t>月</w:t>
            </w:r>
            <w:r>
              <w:rPr>
                <w:rFonts w:hint="eastAsia" w:ascii="仿宋_GB2312" w:hAnsi="宋体" w:eastAsia="仿宋_GB2312" w:cs="宋体"/>
                <w:color w:val="000000"/>
                <w:kern w:val="0"/>
                <w:sz w:val="24"/>
              </w:rPr>
              <w:t>的</w:t>
            </w:r>
            <w:r>
              <w:rPr>
                <w:rFonts w:ascii="仿宋_GB2312" w:hAnsi="宋体" w:eastAsia="仿宋_GB2312" w:cs="宋体"/>
                <w:color w:val="000000"/>
                <w:kern w:val="0"/>
                <w:sz w:val="24"/>
              </w:rPr>
              <w:t>质保服务</w:t>
            </w:r>
            <w:r>
              <w:rPr>
                <w:rFonts w:hint="eastAsia" w:ascii="仿宋_GB2312" w:hAnsi="宋体" w:eastAsia="仿宋_GB2312" w:cs="宋体"/>
                <w:color w:val="000000"/>
                <w:kern w:val="0"/>
                <w:sz w:val="24"/>
              </w:rPr>
              <w:t>。</w:t>
            </w:r>
          </w:p>
          <w:p>
            <w:pPr>
              <w:pStyle w:val="8"/>
              <w:ind w:firstLine="480"/>
              <w:rPr>
                <w:rFonts w:ascii="仿宋_GB2312" w:hAnsi="宋体" w:eastAsia="仿宋_GB2312" w:cs="宋体"/>
                <w:color w:val="000000"/>
                <w:kern w:val="0"/>
                <w:sz w:val="24"/>
              </w:rPr>
            </w:pPr>
          </w:p>
          <w:p>
            <w:p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tblPrEx>
          <w:tblLayout w:type="fixed"/>
          <w:tblCellMar>
            <w:top w:w="0" w:type="dxa"/>
            <w:left w:w="108" w:type="dxa"/>
            <w:bottom w:w="0" w:type="dxa"/>
            <w:right w:w="108" w:type="dxa"/>
          </w:tblCellMar>
        </w:tblPrEx>
        <w:trPr>
          <w:trHeight w:val="559"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8248"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 xml:space="preserve">2022 </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14</w:t>
            </w:r>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720" w:hRule="atLeast"/>
        </w:trPr>
        <w:tc>
          <w:tcPr>
            <w:tcW w:w="132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3454"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663"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仿宋_GB2312" w:eastAsia="仿宋_GB2312" w:cs="仿宋_GB2312"/>
                <w:color w:val="000000"/>
                <w:kern w:val="0"/>
                <w:sz w:val="24"/>
              </w:rPr>
              <w:t>■</w:t>
            </w:r>
            <w:r>
              <w:rPr>
                <w:rFonts w:hint="eastAsia" w:ascii="仿宋_GB2312" w:hAnsi="宋体" w:eastAsia="仿宋_GB2312" w:cs="宋体"/>
                <w:color w:val="000000"/>
                <w:kern w:val="0"/>
                <w:sz w:val="24"/>
              </w:rPr>
              <w:t>报价单</w:t>
            </w:r>
          </w:p>
        </w:tc>
        <w:tc>
          <w:tcPr>
            <w:tcW w:w="182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306"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7"/>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7"/>
        <w:ind w:firstLineChars="0"/>
        <w:jc w:val="left"/>
      </w:pPr>
    </w:p>
    <w:p>
      <w:r>
        <w:br w:type="page"/>
      </w:r>
      <w:bookmarkStart w:id="0" w:name="_GoBack"/>
      <w:bookmarkEnd w:id="0"/>
    </w:p>
    <w:tbl>
      <w:tblPr>
        <w:tblStyle w:val="6"/>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pPr>
    </w:p>
    <w:p>
      <w:pPr>
        <w:pStyle w:val="7"/>
        <w:ind w:firstLineChars="0"/>
        <w:jc w:val="left"/>
      </w:pPr>
    </w:p>
    <w:p>
      <w:pPr>
        <w:pStyle w:val="7"/>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pPr>
        <w:pStyle w:val="8"/>
        <w:numPr>
          <w:ilvl w:val="0"/>
          <w:numId w:val="13"/>
        </w:numPr>
        <w:spacing w:line="360" w:lineRule="auto"/>
        <w:ind w:firstLineChars="0"/>
        <w:rPr>
          <w:sz w:val="24"/>
        </w:rPr>
      </w:pPr>
      <w:r>
        <w:rPr>
          <w:rFonts w:ascii="黑体" w:hAnsi="黑体" w:eastAsia="黑体" w:cs="黑体"/>
          <w:kern w:val="0"/>
          <w:sz w:val="28"/>
          <w:szCs w:val="64"/>
        </w:rPr>
        <w:br w:type="page"/>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sz w:val="15"/>
        <w:szCs w:val="15"/>
        <w:lang w:val="en-US" w:eastAsia="zh-CN"/>
      </w:rPr>
    </w:pPr>
    <w:r>
      <w:rPr>
        <w:rFonts w:hint="eastAsia"/>
        <w:sz w:val="15"/>
        <w:szCs w:val="15"/>
      </w:rPr>
      <w:t>SACSC-RF</w:t>
    </w:r>
    <w:r>
      <w:rPr>
        <w:rFonts w:hint="eastAsia"/>
        <w:sz w:val="15"/>
        <w:szCs w:val="15"/>
        <w:lang w:val="en-US" w:eastAsia="zh-CN"/>
      </w:rPr>
      <w:t>Q</w:t>
    </w:r>
    <w:r>
      <w:rPr>
        <w:rFonts w:hint="eastAsia"/>
        <w:sz w:val="15"/>
        <w:szCs w:val="15"/>
      </w:rPr>
      <w:t>-T-202200</w:t>
    </w:r>
    <w:r>
      <w:rPr>
        <w:rFonts w:hint="eastAsia"/>
        <w:sz w:val="15"/>
        <w:szCs w:val="15"/>
        <w:lang w:val="en-US" w:eastAsia="zh-CN"/>
      </w:rPr>
      <w:t>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821"/>
    <w:multiLevelType w:val="multilevel"/>
    <w:tmpl w:val="02DB38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B6E3BF9"/>
    <w:multiLevelType w:val="multilevel"/>
    <w:tmpl w:val="0B6E3BF9"/>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
    <w:nsid w:val="18856D70"/>
    <w:multiLevelType w:val="multilevel"/>
    <w:tmpl w:val="18856D70"/>
    <w:lvl w:ilvl="0" w:tentative="0">
      <w:start w:val="1"/>
      <w:numFmt w:val="lowerLetter"/>
      <w:suff w:val="space"/>
      <w:lvlText w:val="%1)"/>
      <w:lvlJc w:val="left"/>
      <w:pPr>
        <w:ind w:left="0" w:hanging="360"/>
      </w:pPr>
      <w:rPr>
        <w:rFonts w:hint="default"/>
      </w:rPr>
    </w:lvl>
    <w:lvl w:ilvl="1" w:tentative="0">
      <w:start w:val="1"/>
      <w:numFmt w:val="lowerLetter"/>
      <w:lvlText w:val="%2)"/>
      <w:lvlJc w:val="left"/>
      <w:pPr>
        <w:ind w:left="480" w:hanging="420"/>
      </w:pPr>
      <w:rPr>
        <w:rFonts w:hint="eastAsia"/>
      </w:rPr>
    </w:lvl>
    <w:lvl w:ilvl="2" w:tentative="0">
      <w:start w:val="1"/>
      <w:numFmt w:val="lowerRoman"/>
      <w:lvlText w:val="%3."/>
      <w:lvlJc w:val="right"/>
      <w:pPr>
        <w:ind w:left="900" w:hanging="420"/>
      </w:pPr>
      <w:rPr>
        <w:rFonts w:hint="eastAsia"/>
      </w:rPr>
    </w:lvl>
    <w:lvl w:ilvl="3" w:tentative="0">
      <w:start w:val="1"/>
      <w:numFmt w:val="decimal"/>
      <w:lvlText w:val="%4."/>
      <w:lvlJc w:val="left"/>
      <w:pPr>
        <w:ind w:left="1320" w:hanging="420"/>
      </w:pPr>
      <w:rPr>
        <w:rFonts w:hint="eastAsia"/>
      </w:rPr>
    </w:lvl>
    <w:lvl w:ilvl="4" w:tentative="0">
      <w:start w:val="1"/>
      <w:numFmt w:val="lowerLetter"/>
      <w:lvlText w:val="%5)"/>
      <w:lvlJc w:val="left"/>
      <w:pPr>
        <w:ind w:left="1740" w:hanging="420"/>
      </w:pPr>
      <w:rPr>
        <w:rFonts w:hint="eastAsia"/>
      </w:rPr>
    </w:lvl>
    <w:lvl w:ilvl="5" w:tentative="0">
      <w:start w:val="1"/>
      <w:numFmt w:val="lowerRoman"/>
      <w:lvlText w:val="%6."/>
      <w:lvlJc w:val="right"/>
      <w:pPr>
        <w:ind w:left="2160" w:hanging="420"/>
      </w:pPr>
      <w:rPr>
        <w:rFonts w:hint="eastAsia"/>
      </w:rPr>
    </w:lvl>
    <w:lvl w:ilvl="6" w:tentative="0">
      <w:start w:val="1"/>
      <w:numFmt w:val="decimal"/>
      <w:lvlText w:val="%7."/>
      <w:lvlJc w:val="left"/>
      <w:pPr>
        <w:ind w:left="2580" w:hanging="420"/>
      </w:pPr>
      <w:rPr>
        <w:rFonts w:hint="eastAsia"/>
      </w:rPr>
    </w:lvl>
    <w:lvl w:ilvl="7" w:tentative="0">
      <w:start w:val="1"/>
      <w:numFmt w:val="lowerLetter"/>
      <w:lvlText w:val="%8)"/>
      <w:lvlJc w:val="left"/>
      <w:pPr>
        <w:ind w:left="3000" w:hanging="420"/>
      </w:pPr>
      <w:rPr>
        <w:rFonts w:hint="eastAsia"/>
      </w:rPr>
    </w:lvl>
    <w:lvl w:ilvl="8" w:tentative="0">
      <w:start w:val="1"/>
      <w:numFmt w:val="lowerRoman"/>
      <w:lvlText w:val="%9."/>
      <w:lvlJc w:val="right"/>
      <w:pPr>
        <w:ind w:left="3420" w:hanging="420"/>
      </w:pPr>
      <w:rPr>
        <w:rFonts w:hint="eastAsia"/>
      </w:rPr>
    </w:lvl>
  </w:abstractNum>
  <w:abstractNum w:abstractNumId="3">
    <w:nsid w:val="27396C14"/>
    <w:multiLevelType w:val="singleLevel"/>
    <w:tmpl w:val="27396C14"/>
    <w:lvl w:ilvl="0" w:tentative="0">
      <w:start w:val="1"/>
      <w:numFmt w:val="decimal"/>
      <w:suff w:val="space"/>
      <w:lvlText w:val="%1."/>
      <w:lvlJc w:val="left"/>
    </w:lvl>
  </w:abstractNum>
  <w:abstractNum w:abstractNumId="4">
    <w:nsid w:val="37C9494E"/>
    <w:multiLevelType w:val="multilevel"/>
    <w:tmpl w:val="37C9494E"/>
    <w:lvl w:ilvl="0" w:tentative="0">
      <w:start w:val="1"/>
      <w:numFmt w:val="decimal"/>
      <w:lvlText w:val="表%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162393"/>
    <w:multiLevelType w:val="multilevel"/>
    <w:tmpl w:val="3A1623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326342"/>
    <w:multiLevelType w:val="multilevel"/>
    <w:tmpl w:val="3D3263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E0B7536"/>
    <w:multiLevelType w:val="multilevel"/>
    <w:tmpl w:val="3E0B753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15651A0"/>
    <w:multiLevelType w:val="multilevel"/>
    <w:tmpl w:val="415651A0"/>
    <w:lvl w:ilvl="0" w:tentative="0">
      <w:start w:val="1"/>
      <w:numFmt w:val="decimal"/>
      <w:suff w:val="space"/>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9">
    <w:nsid w:val="66B628C1"/>
    <w:multiLevelType w:val="multilevel"/>
    <w:tmpl w:val="66B628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61E3A9E"/>
    <w:multiLevelType w:val="multilevel"/>
    <w:tmpl w:val="761E3A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D1F522B"/>
    <w:multiLevelType w:val="multilevel"/>
    <w:tmpl w:val="7D1F522B"/>
    <w:lvl w:ilvl="0" w:tentative="0">
      <w:start w:val="1"/>
      <w:numFmt w:val="decimal"/>
      <w:suff w:val="space"/>
      <w:lvlText w:val="%1）"/>
      <w:lvlJc w:val="left"/>
      <w:pPr>
        <w:ind w:left="885" w:hanging="420"/>
      </w:pPr>
      <w:rPr>
        <w:rFonts w:hint="eastAsia"/>
      </w:rPr>
    </w:lvl>
    <w:lvl w:ilvl="1" w:tentative="0">
      <w:start w:val="1"/>
      <w:numFmt w:val="lowerLetter"/>
      <w:lvlText w:val="%2)"/>
      <w:lvlJc w:val="left"/>
      <w:pPr>
        <w:ind w:left="1305" w:hanging="420"/>
      </w:pPr>
      <w:rPr>
        <w:rFonts w:hint="eastAsia"/>
      </w:rPr>
    </w:lvl>
    <w:lvl w:ilvl="2" w:tentative="0">
      <w:start w:val="1"/>
      <w:numFmt w:val="lowerRoman"/>
      <w:lvlText w:val="%3."/>
      <w:lvlJc w:val="right"/>
      <w:pPr>
        <w:ind w:left="1725" w:hanging="420"/>
      </w:pPr>
      <w:rPr>
        <w:rFonts w:hint="eastAsia"/>
      </w:rPr>
    </w:lvl>
    <w:lvl w:ilvl="3" w:tentative="0">
      <w:start w:val="1"/>
      <w:numFmt w:val="decimal"/>
      <w:lvlText w:val="%4."/>
      <w:lvlJc w:val="left"/>
      <w:pPr>
        <w:ind w:left="2145" w:hanging="420"/>
      </w:pPr>
      <w:rPr>
        <w:rFonts w:hint="eastAsia"/>
      </w:rPr>
    </w:lvl>
    <w:lvl w:ilvl="4" w:tentative="0">
      <w:start w:val="1"/>
      <w:numFmt w:val="lowerLetter"/>
      <w:lvlText w:val="%5)"/>
      <w:lvlJc w:val="left"/>
      <w:pPr>
        <w:ind w:left="2565" w:hanging="420"/>
      </w:pPr>
      <w:rPr>
        <w:rFonts w:hint="eastAsia"/>
      </w:rPr>
    </w:lvl>
    <w:lvl w:ilvl="5" w:tentative="0">
      <w:start w:val="1"/>
      <w:numFmt w:val="lowerRoman"/>
      <w:lvlText w:val="%6."/>
      <w:lvlJc w:val="right"/>
      <w:pPr>
        <w:ind w:left="2985" w:hanging="420"/>
      </w:pPr>
      <w:rPr>
        <w:rFonts w:hint="eastAsia"/>
      </w:rPr>
    </w:lvl>
    <w:lvl w:ilvl="6" w:tentative="0">
      <w:start w:val="1"/>
      <w:numFmt w:val="decimal"/>
      <w:lvlText w:val="%7."/>
      <w:lvlJc w:val="left"/>
      <w:pPr>
        <w:ind w:left="3405" w:hanging="420"/>
      </w:pPr>
      <w:rPr>
        <w:rFonts w:hint="eastAsia"/>
      </w:rPr>
    </w:lvl>
    <w:lvl w:ilvl="7" w:tentative="0">
      <w:start w:val="1"/>
      <w:numFmt w:val="lowerLetter"/>
      <w:lvlText w:val="%8)"/>
      <w:lvlJc w:val="left"/>
      <w:pPr>
        <w:ind w:left="3825" w:hanging="420"/>
      </w:pPr>
      <w:rPr>
        <w:rFonts w:hint="eastAsia"/>
      </w:rPr>
    </w:lvl>
    <w:lvl w:ilvl="8" w:tentative="0">
      <w:start w:val="1"/>
      <w:numFmt w:val="lowerRoman"/>
      <w:lvlText w:val="%9."/>
      <w:lvlJc w:val="right"/>
      <w:pPr>
        <w:ind w:left="4245" w:hanging="420"/>
      </w:pPr>
      <w:rPr>
        <w:rFonts w:hint="eastAsia"/>
      </w:rPr>
    </w:lvl>
  </w:abstractNum>
  <w:num w:numId="1">
    <w:abstractNumId w:val="3"/>
  </w:num>
  <w:num w:numId="2">
    <w:abstractNumId w:val="2"/>
  </w:num>
  <w:num w:numId="3">
    <w:abstractNumId w:val="1"/>
  </w:num>
  <w:num w:numId="4">
    <w:abstractNumId w:val="9"/>
  </w:num>
  <w:num w:numId="5">
    <w:abstractNumId w:val="5"/>
  </w:num>
  <w:num w:numId="6">
    <w:abstractNumId w:val="12"/>
  </w:num>
  <w:num w:numId="7">
    <w:abstractNumId w:val="8"/>
  </w:num>
  <w:num w:numId="8">
    <w:abstractNumId w:val="4"/>
  </w:num>
  <w:num w:numId="9">
    <w:abstractNumId w:val="7"/>
  </w:num>
  <w:num w:numId="10">
    <w:abstractNumId w:val="11"/>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012D2B"/>
    <w:rsid w:val="000563F9"/>
    <w:rsid w:val="0007350F"/>
    <w:rsid w:val="00081602"/>
    <w:rsid w:val="00112ACF"/>
    <w:rsid w:val="00157401"/>
    <w:rsid w:val="00175FAA"/>
    <w:rsid w:val="001B77BA"/>
    <w:rsid w:val="00206788"/>
    <w:rsid w:val="00246C49"/>
    <w:rsid w:val="00273F6B"/>
    <w:rsid w:val="002B0B4D"/>
    <w:rsid w:val="0031244F"/>
    <w:rsid w:val="00321DB4"/>
    <w:rsid w:val="003E0A9F"/>
    <w:rsid w:val="003E4A24"/>
    <w:rsid w:val="00443535"/>
    <w:rsid w:val="0053267E"/>
    <w:rsid w:val="00574790"/>
    <w:rsid w:val="00614F0A"/>
    <w:rsid w:val="006C7122"/>
    <w:rsid w:val="00733E04"/>
    <w:rsid w:val="00825418"/>
    <w:rsid w:val="0085254B"/>
    <w:rsid w:val="008772F9"/>
    <w:rsid w:val="00911E83"/>
    <w:rsid w:val="009803F2"/>
    <w:rsid w:val="009A55CD"/>
    <w:rsid w:val="009E3227"/>
    <w:rsid w:val="00A030FA"/>
    <w:rsid w:val="00A043D2"/>
    <w:rsid w:val="00A72AE3"/>
    <w:rsid w:val="00BE7057"/>
    <w:rsid w:val="00C50206"/>
    <w:rsid w:val="00D45265"/>
    <w:rsid w:val="00DB5CE9"/>
    <w:rsid w:val="00DC33C4"/>
    <w:rsid w:val="00E35B8F"/>
    <w:rsid w:val="00E36CC4"/>
    <w:rsid w:val="00E43119"/>
    <w:rsid w:val="00E70553"/>
    <w:rsid w:val="00EB2DFD"/>
    <w:rsid w:val="00F20361"/>
    <w:rsid w:val="00F41955"/>
    <w:rsid w:val="00FA4C32"/>
    <w:rsid w:val="00FB106C"/>
    <w:rsid w:val="067F6E13"/>
    <w:rsid w:val="19020226"/>
    <w:rsid w:val="25E76557"/>
    <w:rsid w:val="30017AF7"/>
    <w:rsid w:val="30403EDD"/>
    <w:rsid w:val="356626F1"/>
    <w:rsid w:val="4B497D1D"/>
    <w:rsid w:val="4D183E10"/>
    <w:rsid w:val="677B3FDF"/>
    <w:rsid w:val="6A18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link w:val="11"/>
    <w:qFormat/>
    <w:uiPriority w:val="34"/>
    <w:pPr>
      <w:ind w:firstLine="420" w:firstLineChars="200"/>
    </w:pPr>
  </w:style>
  <w:style w:type="character" w:customStyle="1" w:styleId="9">
    <w:name w:val="页眉 字符"/>
    <w:basedOn w:val="5"/>
    <w:link w:val="4"/>
    <w:qFormat/>
    <w:uiPriority w:val="0"/>
    <w:rPr>
      <w:kern w:val="2"/>
      <w:sz w:val="18"/>
      <w:szCs w:val="18"/>
    </w:rPr>
  </w:style>
  <w:style w:type="character" w:customStyle="1" w:styleId="10">
    <w:name w:val="页脚 字符"/>
    <w:basedOn w:val="5"/>
    <w:link w:val="3"/>
    <w:qFormat/>
    <w:uiPriority w:val="0"/>
    <w:rPr>
      <w:kern w:val="2"/>
      <w:sz w:val="18"/>
      <w:szCs w:val="18"/>
    </w:rPr>
  </w:style>
  <w:style w:type="character" w:customStyle="1" w:styleId="11">
    <w:name w:val="列出段落 字符"/>
    <w:link w:val="8"/>
    <w:qFormat/>
    <w:uiPriority w:val="34"/>
    <w:rPr>
      <w:kern w:val="2"/>
      <w:sz w:val="21"/>
      <w:szCs w:val="24"/>
    </w:rPr>
  </w:style>
  <w:style w:type="character" w:customStyle="1" w:styleId="12">
    <w:name w:val="批注框文本 字符"/>
    <w:basedOn w:val="5"/>
    <w:link w:val="2"/>
    <w:qFormat/>
    <w:uiPriority w:val="0"/>
    <w:rPr>
      <w:kern w:val="2"/>
      <w:sz w:val="18"/>
      <w:szCs w:val="18"/>
    </w:rPr>
  </w:style>
  <w:style w:type="paragraph" w:customStyle="1" w:styleId="13">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1268</Words>
  <Characters>7230</Characters>
  <Lines>60</Lines>
  <Paragraphs>16</Paragraphs>
  <TotalTime>32</TotalTime>
  <ScaleCrop>false</ScaleCrop>
  <LinksUpToDate>false</LinksUpToDate>
  <CharactersWithSpaces>8482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2022-10-25T09:12:00Z</dcterms:created>
  <dc:creator>姜喆</dc:creator>
  <cp:lastModifiedBy>姜喆</cp:lastModifiedBy>
  <dcterms:modified xsi:type="dcterms:W3CDTF">2022-11-02T05:40:28Z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