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Times New Roman"/>
          <w:sz w:val="28"/>
          <w:szCs w:val="28"/>
        </w:rPr>
      </w:pPr>
    </w:p>
    <w:p>
      <w:pPr>
        <w:pStyle w:val="2"/>
        <w:rPr>
          <w:rFonts w:ascii="宋体" w:hAnsi="宋体" w:eastAsia="宋体" w:cs="Times New Roman"/>
          <w:sz w:val="28"/>
          <w:szCs w:val="28"/>
        </w:rPr>
      </w:pPr>
    </w:p>
    <w:p>
      <w:pPr>
        <w:rPr>
          <w:rFonts w:ascii="宋体" w:hAnsi="宋体" w:eastAsia="宋体" w:cs="Times New Roman"/>
          <w:sz w:val="28"/>
          <w:szCs w:val="28"/>
        </w:rPr>
      </w:pPr>
    </w:p>
    <w:p>
      <w:pPr>
        <w:pStyle w:val="2"/>
      </w:pP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</w:t>
      </w:r>
      <w:r>
        <w:rPr>
          <w:rFonts w:hint="eastAsia" w:ascii="仿宋_GB2312" w:eastAsia="仿宋_GB2312"/>
          <w:sz w:val="32"/>
          <w:lang w:val="en-US" w:eastAsia="zh-CN"/>
        </w:rPr>
        <w:t>2022</w:t>
      </w:r>
      <w:r>
        <w:rPr>
          <w:rFonts w:hint="eastAsia" w:ascii="仿宋_GB2312" w:eastAsia="仿宋_GB2312"/>
          <w:sz w:val="32"/>
        </w:rPr>
        <w:t xml:space="preserve">年 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10</w:t>
      </w:r>
      <w:r>
        <w:rPr>
          <w:rFonts w:hint="eastAsia" w:ascii="仿宋_GB2312" w:eastAsia="仿宋_GB2312"/>
          <w:sz w:val="32"/>
        </w:rPr>
        <w:t>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  <w:r>
        <w:br w:type="page"/>
      </w:r>
    </w:p>
    <w:tbl>
      <w:tblPr>
        <w:tblStyle w:val="8"/>
        <w:tblpPr w:leftFromText="180" w:rightFromText="180" w:vertAnchor="text" w:horzAnchor="page" w:tblpX="1580" w:tblpY="457"/>
        <w:tblOverlap w:val="never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2268"/>
        <w:gridCol w:w="1275"/>
        <w:gridCol w:w="33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6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孔万里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18019196725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kongwanli@comac.cc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客服中心航材库房特种车辆充电区域改造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6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N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1.具有独立法人资质，具有企业法人营业执照并具有完成本项目所需的经营范围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，提供营业执照复印件（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营业执照复印件需加盖公章）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；</w:t>
            </w:r>
          </w:p>
          <w:p>
            <w:pPr>
              <w:numPr>
                <w:ilvl w:val="0"/>
                <w:numId w:val="0"/>
              </w:numPr>
              <w:autoSpaceDN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2.提供企业法人资格证明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被授权人身份证明及法人授权委托书；</w:t>
            </w:r>
          </w:p>
          <w:p>
            <w:pPr>
              <w:numPr>
                <w:ilvl w:val="0"/>
                <w:numId w:val="0"/>
              </w:numPr>
              <w:autoSpaceDN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3.具有与本项目相关的行业资质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建筑工程施工总承包三级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或机电安装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施工专业承包建筑机电安装工程专业承包三级及以上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与人员配备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如有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高空作业，人员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相关资质）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；</w:t>
            </w:r>
          </w:p>
          <w:p>
            <w:pPr>
              <w:numPr>
                <w:ilvl w:val="0"/>
                <w:numId w:val="0"/>
              </w:numPr>
              <w:autoSpaceDN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4.提供近3年（201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年-20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年）经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第三方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审计的财务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审计报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或加盖公司公章的财务报表，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包含但不限于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资产负债表、利润表和现金流量表;</w:t>
            </w:r>
          </w:p>
          <w:p>
            <w:pPr>
              <w:numPr>
                <w:ilvl w:val="0"/>
                <w:numId w:val="0"/>
              </w:numPr>
              <w:autoSpaceDN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5.未被列入全国失信被执行人名单，披露正在审理或执行完毕的标的金额大于500 万元人民币（含本数）的重大诉讼、仲裁、索赔、行政复议或行政处罚；</w:t>
            </w:r>
          </w:p>
          <w:p>
            <w:pPr>
              <w:numPr>
                <w:ilvl w:val="0"/>
                <w:numId w:val="0"/>
              </w:numPr>
              <w:autoSpaceDN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6、注册资本大于人民币500万；</w:t>
            </w:r>
            <w:bookmarkStart w:id="4" w:name="_GoBack"/>
            <w:bookmarkEnd w:id="4"/>
          </w:p>
          <w:p>
            <w:pPr>
              <w:numPr>
                <w:ilvl w:val="0"/>
                <w:numId w:val="0"/>
              </w:numPr>
              <w:autoSpaceDN/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8、必须现场踏勘后，根据现场情况及要求出具施工方案及报价。（未现场踏勘属于无效投标）。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6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N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能及时满足和响应采购方的需求；</w:t>
            </w:r>
          </w:p>
          <w:p>
            <w:pPr>
              <w:autoSpaceDN w:val="0"/>
              <w:spacing w:line="280" w:lineRule="exact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具有相关项目经验，并至少提供3份业绩证明。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6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N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1、施工区域详见附件一：施工区域图</w:t>
            </w:r>
          </w:p>
          <w:p>
            <w:pPr>
              <w:numPr>
                <w:ilvl w:val="0"/>
                <w:numId w:val="0"/>
              </w:numPr>
              <w:autoSpaceDN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2、施工要求详见附件二：技术要求</w:t>
            </w:r>
          </w:p>
          <w:p>
            <w:pPr>
              <w:numPr>
                <w:ilvl w:val="0"/>
                <w:numId w:val="0"/>
              </w:numPr>
              <w:autoSpaceDN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3、附件三：施工项目报价表（若根据实际情况可另外展开明细）</w:t>
            </w:r>
          </w:p>
          <w:p>
            <w:pPr>
              <w:numPr>
                <w:ilvl w:val="0"/>
                <w:numId w:val="0"/>
              </w:numPr>
              <w:autoSpaceDN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4、项目概况</w:t>
            </w:r>
          </w:p>
          <w:p>
            <w:pPr>
              <w:numPr>
                <w:ilvl w:val="0"/>
                <w:numId w:val="0"/>
              </w:numPr>
              <w:autoSpaceDN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本工程位于上海市江川东路100号上海飞机客户服务有限公司内，根据采购方安装、施工、验收的要求，完成特种车辆充电区域改造工作。根据规范要求，详见附件二、三（技术要求、报价清单）。</w:t>
            </w:r>
          </w:p>
          <w:p>
            <w:pPr>
              <w:numPr>
                <w:ilvl w:val="0"/>
                <w:numId w:val="0"/>
              </w:numPr>
              <w:autoSpaceDN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5、报价文件编制要求</w:t>
            </w:r>
          </w:p>
          <w:p>
            <w:pPr>
              <w:numPr>
                <w:ilvl w:val="0"/>
                <w:numId w:val="0"/>
              </w:numPr>
              <w:autoSpaceDN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报价单位需编制技术方案及详细报价清单（改造方案的附件：改造方案清单上进行报价）。所有文件均需加盖公章，并经施工单位法定代表人或其授权代表签名或盖章。由授权代表签字、盖章的在征询报价书中须提交法定代表人签署的授权委托书。全套报价书必须内容齐全，打印清晰，无涂改和行间插字。</w:t>
            </w:r>
          </w:p>
          <w:p>
            <w:pPr>
              <w:numPr>
                <w:ilvl w:val="0"/>
                <w:numId w:val="0"/>
              </w:numPr>
              <w:autoSpaceDN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报价文件组成：报价文件由书面文件和相应的电子文件（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 xml:space="preserve">U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盘）两部分组成。书面文件一份（所有文件装订成一册），电子文件需提供一份（集成一个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PDF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，报价部分按附件三报价清单明细填写（如有展开报价项请另附表勿改动报价表结构）、报价清单须单独提供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EXCEL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）。法人授权委托证明书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含法定代表人及授权委托人身份证明）、施工方案（施工组织设计、施工安全保证措施、安全生产责任制及应急预案、文明施工保证措施、工期保证措施、工程质量保证措施等）、企业营业执照（复印件加盖公章）、承诺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报价单位对施工费用、工期、质量、安全等的承诺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格式自行设计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、近三年财务报表、质量体系证书、行业资质证书、业绩证明、资信证明。</w:t>
            </w:r>
          </w:p>
          <w:p>
            <w:pPr>
              <w:numPr>
                <w:ilvl w:val="0"/>
                <w:numId w:val="0"/>
              </w:numPr>
              <w:autoSpaceDN/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6、现场踏勘时间2022年11月14日13:30。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6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N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1、工期要求：合同生效并收到采购方通知后50日历日之内完成所有施工项目。</w:t>
            </w:r>
          </w:p>
          <w:p>
            <w:pPr>
              <w:numPr>
                <w:ilvl w:val="0"/>
                <w:numId w:val="0"/>
              </w:numPr>
              <w:autoSpaceDN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质保期：两年，自本项目施工完成并经采购方验收合格且出具验收证明后起算。</w:t>
            </w:r>
          </w:p>
          <w:p>
            <w:pPr>
              <w:numPr>
                <w:ilvl w:val="0"/>
                <w:numId w:val="0"/>
              </w:numPr>
              <w:autoSpaceDN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2、付款方式：本项目费用分【二】期支付：</w:t>
            </w:r>
          </w:p>
          <w:p>
            <w:pPr>
              <w:numPr>
                <w:ilvl w:val="0"/>
                <w:numId w:val="0"/>
              </w:numPr>
              <w:autoSpaceDN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A. 第一期支付：</w:t>
            </w:r>
          </w:p>
          <w:p>
            <w:pPr>
              <w:numPr>
                <w:ilvl w:val="0"/>
                <w:numId w:val="0"/>
              </w:numPr>
              <w:autoSpaceDN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合同签订完成并全部修复工作完成并验收合格后，经过结算审价后，供应商提供结算审价总额等额的增值税专用发票【30】工作日内，支付到结算总价的97%。</w:t>
            </w:r>
          </w:p>
          <w:p>
            <w:pPr>
              <w:numPr>
                <w:ilvl w:val="0"/>
                <w:numId w:val="0"/>
              </w:numPr>
              <w:autoSpaceDN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B.第二期支付：</w:t>
            </w:r>
          </w:p>
          <w:p>
            <w:pPr>
              <w:numPr>
                <w:ilvl w:val="0"/>
                <w:numId w:val="0"/>
              </w:numPr>
              <w:autoSpaceDN/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采购方留存总价3%的质保金,于保修期(质保期)结束后，无质量问题，向供应商支付。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6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17:00前快递至采购联系人处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tbl>
      <w:tblPr>
        <w:tblStyle w:val="8"/>
        <w:tblpPr w:leftFromText="180" w:rightFromText="180" w:vertAnchor="text" w:horzAnchor="page" w:tblpX="1576" w:tblpY="37"/>
        <w:tblOverlap w:val="never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842"/>
        <w:gridCol w:w="1161"/>
        <w:gridCol w:w="2380"/>
        <w:gridCol w:w="14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供应商信息采集表</w:t>
            </w:r>
          </w:p>
        </w:tc>
      </w:tr>
    </w:tbl>
    <w:p>
      <w:pPr>
        <w:pStyle w:val="10"/>
        <w:ind w:left="220" w:hanging="220" w:hangingChars="100"/>
        <w:jc w:val="left"/>
        <w:rPr>
          <w:rFonts w:ascii="仿宋_GB2312" w:eastAsia="仿宋_GB2312" w:cs="宋体"/>
          <w:color w:val="000000"/>
          <w:kern w:val="0"/>
          <w:sz w:val="22"/>
          <w:szCs w:val="22"/>
        </w:rPr>
      </w:pPr>
    </w:p>
    <w:p>
      <w:pPr>
        <w:pStyle w:val="10"/>
        <w:ind w:firstLineChars="0"/>
        <w:jc w:val="left"/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注：明确技术标准和要求，不限定或指定唯一品牌，在引用品牌或生产供应商名称前加上“参照”或“相当于”字样，确保品牌的市场可选择性。</w:t>
      </w:r>
    </w:p>
    <w:p>
      <w:r>
        <w:br w:type="page"/>
      </w:r>
    </w:p>
    <w:tbl>
      <w:tblPr>
        <w:tblStyle w:val="8"/>
        <w:tblpPr w:leftFromText="180" w:rightFromText="180" w:vertAnchor="text" w:horzAnchor="margin" w:tblpXSpec="center" w:tblpY="441"/>
        <w:tblW w:w="101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4114"/>
        <w:gridCol w:w="2623"/>
        <w:gridCol w:w="126"/>
        <w:gridCol w:w="1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□经审计的近三年的年度财务报表*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□行业资质证书*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或验收报告*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10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tbl>
      <w:tblPr>
        <w:tblStyle w:val="8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508"/>
        <w:gridCol w:w="2662"/>
        <w:gridCol w:w="26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□报价单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注：报价文件盖章后密封送达采购联系人，内含盖章版电子扫描件（U盘或光盘）</w:t>
            </w: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>
      <w:pPr>
        <w:pStyle w:val="10"/>
        <w:ind w:firstLineChars="0"/>
        <w:jc w:val="left"/>
      </w:pPr>
    </w:p>
    <w:p/>
    <w:p/>
    <w:p/>
    <w:p/>
    <w:p/>
    <w:p/>
    <w:p>
      <w:pP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附件一：施工区域区（标红）</w:t>
      </w:r>
    </w:p>
    <w:p/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39385" cy="3038475"/>
            <wp:effectExtent l="0" t="0" r="1841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938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055" cy="3949700"/>
            <wp:effectExtent l="0" t="0" r="10795" b="12700"/>
            <wp:docPr id="2" name="图片 4" descr="微信图片_20221019105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微信图片_202210191054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br w:type="page"/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附件二：技术要求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bookmarkStart w:id="0" w:name="_Toc19965"/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混凝土地坪</w:t>
      </w:r>
      <w:bookmarkEnd w:id="0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auto"/>
        <w:ind w:firstLine="480" w:firstLineChars="200"/>
        <w:textAlignment w:val="auto"/>
        <w:outlineLvl w:val="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特种车辆充电房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地坪采用</w:t>
      </w:r>
      <w:r>
        <w:rPr>
          <w:rFonts w:hint="eastAsia" w:ascii="宋体" w:hAnsi="宋体" w:eastAsia="宋体" w:cs="Arial"/>
          <w:kern w:val="0"/>
          <w:sz w:val="24"/>
          <w:szCs w:val="24"/>
        </w:rPr>
        <w:t>挖除旧基层</w:t>
      </w:r>
      <w:r>
        <w:rPr>
          <w:rFonts w:hint="eastAsia" w:ascii="宋体" w:hAnsi="宋体" w:eastAsia="宋体" w:cs="Arial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地面钢筋混泥土加固抬高与坡度处理，带排水沟含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窨井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地面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需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符合设计要求，不得有倒泛水和积水现象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bookmarkStart w:id="1" w:name="_Toc4328"/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钢结构与屋面</w:t>
      </w:r>
      <w:bookmarkEnd w:id="1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auto"/>
        <w:ind w:firstLine="480" w:firstLineChars="200"/>
        <w:textAlignment w:val="auto"/>
        <w:outlineLvl w:val="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建筑主体结构采用方钢，屋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顶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采用彩钢板，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屋面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采用夹芯保温板，安装通风换气设施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四组百叶窗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，安装天沟排水。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bookmarkStart w:id="2" w:name="_Toc2303"/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墙地面油漆</w:t>
      </w:r>
      <w:bookmarkEnd w:id="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涂刷防护涂料，增加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地面墙面等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防酸措施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bookmarkStart w:id="3" w:name="_Toc31855"/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电气安装与配套工程</w:t>
      </w:r>
      <w:bookmarkEnd w:id="3"/>
    </w:p>
    <w:p>
      <w:pPr>
        <w:pStyle w:val="2"/>
        <w:spacing w:line="360" w:lineRule="auto"/>
        <w:ind w:firstLine="480" w:firstLineChars="200"/>
        <w:rPr>
          <w:rFonts w:hint="eastAsia" w:ascii="宋体" w:hAnsi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配备照明系统（防爆灯）与消防设施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电（380/220V）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lang w:val="en-US" w:eastAsia="zh-CN" w:bidi="ar-SA"/>
        </w:rPr>
        <w:t>。</w:t>
      </w:r>
    </w:p>
    <w:p>
      <w:pPr>
        <w:pStyle w:val="2"/>
        <w:rPr>
          <w:rFonts w:hint="eastAsia" w:ascii="宋体" w:hAnsi="宋体" w:cs="宋体"/>
          <w:b w:val="0"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055" cy="2541905"/>
            <wp:effectExtent l="0" t="0" r="10795" b="10795"/>
            <wp:docPr id="3" name="图片 3" descr="微信图片_20220815153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8151534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541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50" w:afterLines="50"/>
        <w:outlineLvl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效果图参考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附件三：报价清单</w:t>
      </w:r>
    </w:p>
    <w:tbl>
      <w:tblPr>
        <w:tblStyle w:val="8"/>
        <w:tblpPr w:leftFromText="180" w:rightFromText="180" w:vertAnchor="text" w:horzAnchor="page" w:tblpX="1200" w:tblpY="548"/>
        <w:tblOverlap w:val="never"/>
        <w:tblW w:w="10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397"/>
        <w:gridCol w:w="854"/>
        <w:gridCol w:w="856"/>
        <w:gridCol w:w="1133"/>
        <w:gridCol w:w="1131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名称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单位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数量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单价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金额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混凝土钢筋地坪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m²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挖除旧基层及新浇筑混凝土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立面钢结构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项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前立柱方钢200*200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后立柱方钢100*100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屋面前梁H钢600*200*8*11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屋面檩条角钢50*50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屋面主梁方钢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150*150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顶面钢构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项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彩钢板屋顶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m²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120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夹芯保温彩钢板墙面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m²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155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地面防酸防腐处理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m²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防腐环氧地坪漆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墙面防酸防腐处理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m²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155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墙面防酸防腐油漆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百叶窗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组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重型不锈钢排水沟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m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含窨井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防爆灯 100</w:t>
            </w: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W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套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持防爆许可证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移动灭火器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套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持许可证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机电（电缆、电气配管、配电箱、断路器、开关、防雷接地等）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项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含穿越过路电缆保护钢管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道石、绿化修复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项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含绿化带电缆保护盖板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辅材,钢结构防腐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项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废土方外运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m³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934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Arial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val="en-US" w:eastAsia="zh-CN"/>
              </w:rPr>
              <w:t>合计（含税）</w:t>
            </w:r>
          </w:p>
        </w:tc>
        <w:tc>
          <w:tcPr>
            <w:tcW w:w="5381" w:type="dxa"/>
            <w:gridSpan w:val="3"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Arial"/>
                <w:b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both"/>
        <w:textAlignment w:val="center"/>
        <w:rPr>
          <w:rFonts w:hint="eastAsia" w:ascii="宋体" w:hAnsi="宋体" w:eastAsia="宋体" w:cs="宋体"/>
          <w:color w:val="000000"/>
          <w:sz w:val="22"/>
          <w:lang w:val="en-US" w:eastAsia="zh-CN"/>
        </w:rPr>
      </w:pP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注：具体数量以实际踏勘数据为准。</w:t>
      </w: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>（按照七个停车位计算）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eastAsia="宋体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4"/>
        <w:szCs w:val="24"/>
      </w:rPr>
      <w:t>SACSC-RFQ-C-20220</w:t>
    </w:r>
    <w:r>
      <w:rPr>
        <w:rFonts w:hint="eastAsia"/>
        <w:b/>
        <w:bCs/>
        <w:sz w:val="24"/>
        <w:szCs w:val="24"/>
        <w:lang w:val="en-US" w:eastAsia="zh-CN"/>
      </w:rPr>
      <w:t>10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A6909"/>
    <w:rsid w:val="001B3A28"/>
    <w:rsid w:val="00372E50"/>
    <w:rsid w:val="00683528"/>
    <w:rsid w:val="00727F5E"/>
    <w:rsid w:val="00944C70"/>
    <w:rsid w:val="00990706"/>
    <w:rsid w:val="00BF2CF4"/>
    <w:rsid w:val="04A311F2"/>
    <w:rsid w:val="09941E62"/>
    <w:rsid w:val="0E8A7D93"/>
    <w:rsid w:val="0F6C73CC"/>
    <w:rsid w:val="158A0BEE"/>
    <w:rsid w:val="19315B20"/>
    <w:rsid w:val="195612D9"/>
    <w:rsid w:val="1B1401E9"/>
    <w:rsid w:val="1F9A7D7F"/>
    <w:rsid w:val="1FF33EC6"/>
    <w:rsid w:val="23D66535"/>
    <w:rsid w:val="24FC4292"/>
    <w:rsid w:val="25855977"/>
    <w:rsid w:val="356626F1"/>
    <w:rsid w:val="36320B02"/>
    <w:rsid w:val="3945577F"/>
    <w:rsid w:val="43DC64F3"/>
    <w:rsid w:val="447F7854"/>
    <w:rsid w:val="45932410"/>
    <w:rsid w:val="65BC5111"/>
    <w:rsid w:val="68DD74A4"/>
    <w:rsid w:val="68F9624F"/>
    <w:rsid w:val="706227B4"/>
    <w:rsid w:val="70EC4E1F"/>
    <w:rsid w:val="72257CEA"/>
    <w:rsid w:val="7F3322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  <w:b/>
      <w:sz w:val="28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customStyle="1" w:styleId="11">
    <w:name w:val="容西正文"/>
    <w:basedOn w:val="1"/>
    <w:qFormat/>
    <w:uiPriority w:val="0"/>
    <w:pPr>
      <w:snapToGrid w:val="0"/>
      <w:spacing w:line="450" w:lineRule="exact"/>
      <w:ind w:firstLine="454"/>
    </w:pPr>
    <w:rPr>
      <w:rFonts w:ascii="宋体" w:hAnsi="宋体"/>
    </w:rPr>
  </w:style>
  <w:style w:type="character" w:customStyle="1" w:styleId="12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页脚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4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5">
    <w:name w:val="font41"/>
    <w:basedOn w:val="7"/>
    <w:qFormat/>
    <w:uiPriority w:val="0"/>
    <w:rPr>
      <w:rFonts w:hint="default" w:ascii="MingLiU" w:hAnsi="MingLiU" w:eastAsia="MingLiU" w:cs="MingLiU"/>
      <w:color w:val="000000"/>
      <w:sz w:val="26"/>
      <w:szCs w:val="26"/>
      <w:u w:val="none"/>
    </w:rPr>
  </w:style>
  <w:style w:type="character" w:customStyle="1" w:styleId="16">
    <w:name w:val="font21"/>
    <w:basedOn w:val="7"/>
    <w:qFormat/>
    <w:uiPriority w:val="0"/>
    <w:rPr>
      <w:rFonts w:hint="default" w:ascii="MingLiU" w:hAnsi="MingLiU" w:eastAsia="MingLiU" w:cs="MingLiU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142</Words>
  <Characters>816</Characters>
  <Lines>6</Lines>
  <Paragraphs>1</Paragraphs>
  <TotalTime>80</TotalTime>
  <ScaleCrop>false</ScaleCrop>
  <LinksUpToDate>false</LinksUpToDate>
  <CharactersWithSpaces>957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2021-02-26T02:46:00Z</dcterms:created>
  <dc:creator>姜喆</dc:creator>
  <cp:lastModifiedBy>孔万里</cp:lastModifiedBy>
  <dcterms:modified xsi:type="dcterms:W3CDTF">2022-11-10T01:53:59Z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