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bookmarkStart w:id="0" w:name="_GoBack"/>
      <w:bookmarkEnd w:id="0"/>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年 </w:t>
      </w:r>
      <w:r>
        <w:rPr>
          <w:rFonts w:hint="eastAsia" w:ascii="仿宋_GB2312" w:eastAsia="仿宋_GB2312"/>
          <w:sz w:val="32"/>
          <w:lang w:val="en-US" w:eastAsia="zh-CN"/>
        </w:rPr>
        <w:t>4</w:t>
      </w:r>
      <w:r>
        <w:rPr>
          <w:rFonts w:hint="eastAsia" w:ascii="仿宋_GB2312" w:eastAsia="仿宋_GB2312"/>
          <w:sz w:val="32"/>
        </w:rPr>
        <w:t xml:space="preserve">月 </w:t>
      </w:r>
      <w:r>
        <w:rPr>
          <w:rFonts w:hint="eastAsia" w:ascii="仿宋_GB2312" w:eastAsia="仿宋_GB2312"/>
          <w:sz w:val="32"/>
          <w:lang w:val="en-US" w:eastAsia="zh-CN"/>
        </w:rPr>
        <w:t>18</w:t>
      </w:r>
      <w:r>
        <w:rPr>
          <w:rFonts w:hint="eastAsia" w:ascii="仿宋_GB2312" w:eastAsia="仿宋_GB2312"/>
          <w:sz w:val="32"/>
        </w:rPr>
        <w:t>日</w:t>
      </w:r>
    </w:p>
    <w:p>
      <w:pPr>
        <w:pStyle w:val="8"/>
        <w:ind w:firstLineChars="0"/>
        <w:jc w:val="left"/>
      </w:pPr>
    </w:p>
    <w:p>
      <w:pPr>
        <w:pStyle w:val="8"/>
        <w:ind w:firstLineChars="0"/>
        <w:jc w:val="left"/>
      </w:pPr>
    </w:p>
    <w:p>
      <w:pPr>
        <w:pStyle w:val="8"/>
        <w:ind w:firstLineChars="0"/>
        <w:jc w:val="left"/>
      </w:pPr>
      <w:r>
        <w:br w:type="page"/>
      </w:r>
    </w:p>
    <w:tbl>
      <w:tblPr>
        <w:tblStyle w:val="7"/>
        <w:tblpPr w:leftFromText="180" w:rightFromText="180" w:vertAnchor="text" w:horzAnchor="page" w:tblpX="1206" w:tblpY="457"/>
        <w:tblOverlap w:val="never"/>
        <w:tblW w:w="9612" w:type="dxa"/>
        <w:tblInd w:w="0" w:type="dxa"/>
        <w:tblLayout w:type="fixed"/>
        <w:tblCellMar>
          <w:top w:w="0" w:type="dxa"/>
          <w:left w:w="108" w:type="dxa"/>
          <w:bottom w:w="0" w:type="dxa"/>
          <w:right w:w="108" w:type="dxa"/>
        </w:tblCellMar>
      </w:tblPr>
      <w:tblGrid>
        <w:gridCol w:w="2412"/>
        <w:gridCol w:w="1842"/>
        <w:gridCol w:w="426"/>
        <w:gridCol w:w="735"/>
        <w:gridCol w:w="540"/>
        <w:gridCol w:w="1840"/>
        <w:gridCol w:w="1817"/>
      </w:tblGrid>
      <w:tr>
        <w:tblPrEx>
          <w:tblLayout w:type="fixed"/>
          <w:tblCellMar>
            <w:top w:w="0" w:type="dxa"/>
            <w:left w:w="108" w:type="dxa"/>
            <w:bottom w:w="0" w:type="dxa"/>
            <w:right w:w="108" w:type="dxa"/>
          </w:tblCellMar>
        </w:tblPrEx>
        <w:trPr>
          <w:trHeight w:val="840" w:hRule="atLeast"/>
        </w:trPr>
        <w:tc>
          <w:tcPr>
            <w:tcW w:w="2412"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20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41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朱虹</w:t>
            </w:r>
            <w:r>
              <w:rPr>
                <w:rFonts w:hint="eastAsia" w:ascii="仿宋_GB2312" w:hAnsi="宋体" w:eastAsia="仿宋_GB2312" w:cs="宋体"/>
                <w:color w:val="000000"/>
                <w:kern w:val="0"/>
                <w:sz w:val="24"/>
              </w:rPr>
              <w:t>　</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657"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41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r>
              <w:rPr>
                <w:rFonts w:hint="eastAsia" w:ascii="仿宋_GB2312" w:hAnsi="宋体" w:eastAsia="仿宋_GB2312" w:cs="宋体"/>
                <w:color w:val="000000"/>
                <w:kern w:val="0"/>
                <w:sz w:val="24"/>
              </w:rPr>
              <w:t>　</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657"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41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20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AR增强现实远程协作软件租赁</w:t>
            </w:r>
          </w:p>
        </w:tc>
      </w:tr>
      <w:tr>
        <w:tblPrEx>
          <w:tblLayout w:type="fixed"/>
          <w:tblCellMar>
            <w:top w:w="0" w:type="dxa"/>
            <w:left w:w="108" w:type="dxa"/>
            <w:bottom w:w="0" w:type="dxa"/>
            <w:right w:w="108" w:type="dxa"/>
          </w:tblCellMar>
        </w:tblPrEx>
        <w:trPr>
          <w:trHeight w:val="1680" w:hRule="atLeast"/>
        </w:trPr>
        <w:tc>
          <w:tcPr>
            <w:tcW w:w="241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200" w:type="dxa"/>
            <w:gridSpan w:val="6"/>
            <w:tcBorders>
              <w:top w:val="single" w:color="auto" w:sz="4" w:space="0"/>
              <w:left w:val="nil"/>
              <w:bottom w:val="single" w:color="auto" w:sz="4" w:space="0"/>
              <w:right w:val="single" w:color="auto" w:sz="4" w:space="0"/>
            </w:tcBorders>
            <w:vAlign w:val="center"/>
          </w:tcPr>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1.供应商应为在中华人民共和国境内经国家工商行政管理部门核准登记注册且具有独立承担民事责任能力的企业；具有企业法人营业执照并具有完成本项目所需的经营范围；</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2.供应商的注册资金不少于</w:t>
            </w:r>
            <w:r>
              <w:rPr>
                <w:rFonts w:hint="eastAsia" w:ascii="仿宋_GB2312" w:hAnsi="宋体" w:eastAsia="仿宋_GB2312" w:cs="宋体"/>
                <w:color w:val="000000"/>
                <w:kern w:val="0"/>
                <w:sz w:val="24"/>
                <w:lang w:val="en-US" w:eastAsia="zh-CN"/>
              </w:rPr>
              <w:t>1</w:t>
            </w:r>
            <w:r>
              <w:rPr>
                <w:rFonts w:hint="eastAsia" w:ascii="仿宋_GB2312" w:hAnsi="宋体" w:eastAsia="仿宋_GB2312" w:cs="宋体"/>
                <w:color w:val="000000"/>
                <w:kern w:val="0"/>
                <w:sz w:val="24"/>
              </w:rPr>
              <w:t>00万元人民币或其他等额外币；</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3.供应商应具有良好的商业信誉和健全的财务会计制度；</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4.供应商应具有良好的依法缴纳税收和社会保障资金的记录；</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5.供应商应提供经营活动中没有重大违法记录的证明材料，并遵守法律、行政法规等规定的其他条件；</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供应商未被“信用中国”等网站（www.creditchina.gov.cn）等列入失信被执行人、重大税收违法案件当事人名单、政府采购严重违法失信行为记录名单；在签署本项目合同及履行本项目义务时无任何法律障碍和重大事件影响供应商继续正常存续和全面履行本项目合同的能力；披露正在审理或执行完毕的标的金额大于500万元人民币（含本数）的重大诉讼、仲裁、索赔、行政复议或行政处罚；</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7.供应商应具有完善的质量体系，并提供相应的质量证书，如质量管理体系认证证书、环境管理体系认证证书、或两化融合管理体系认证证书等；</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8.供应商应具有有效的AAA级企业信用等级证书，报价文件中提供证书扫描件加盖</w:t>
            </w:r>
            <w:r>
              <w:rPr>
                <w:rFonts w:hint="eastAsia" w:ascii="仿宋_GB2312" w:hAnsi="宋体" w:eastAsia="仿宋_GB2312" w:cs="宋体"/>
                <w:color w:val="000000"/>
                <w:kern w:val="0"/>
                <w:sz w:val="24"/>
                <w:lang w:val="en-US" w:eastAsia="zh-CN"/>
              </w:rPr>
              <w:t>供应商</w:t>
            </w:r>
            <w:r>
              <w:rPr>
                <w:rFonts w:hint="eastAsia" w:ascii="仿宋_GB2312" w:hAnsi="宋体" w:eastAsia="仿宋_GB2312" w:cs="宋体"/>
                <w:color w:val="000000"/>
                <w:kern w:val="0"/>
                <w:sz w:val="24"/>
              </w:rPr>
              <w:t>公章；</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9.供应商必须是本次租赁项目的直接服务提供商，采购方不接受任何形式的转包；</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10.供应商须提供有效的加载统一社会信用代码的营业执照（复印件加盖章）；</w:t>
            </w:r>
          </w:p>
          <w:p>
            <w:pPr>
              <w:autoSpaceDN w:val="0"/>
              <w:spacing w:line="336"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11.供应商需提供单位负责人授权委托书（原件），单位负责人及授权委托人的身份证（复印件）并加盖公章；</w:t>
            </w:r>
          </w:p>
        </w:tc>
      </w:tr>
      <w:tr>
        <w:tblPrEx>
          <w:tblLayout w:type="fixed"/>
          <w:tblCellMar>
            <w:top w:w="0" w:type="dxa"/>
            <w:left w:w="108" w:type="dxa"/>
            <w:bottom w:w="0" w:type="dxa"/>
            <w:right w:w="108" w:type="dxa"/>
          </w:tblCellMar>
        </w:tblPrEx>
        <w:trPr>
          <w:trHeight w:val="1544" w:hRule="atLeast"/>
        </w:trPr>
        <w:tc>
          <w:tcPr>
            <w:tcW w:w="241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200"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36" w:lineRule="auto"/>
              <w:jc w:val="left"/>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1.供应商应提供自2018年1月1日（含）以来，</w:t>
            </w:r>
            <w:r>
              <w:rPr>
                <w:rFonts w:hint="eastAsia" w:ascii="仿宋_GB2312" w:hAnsi="宋体" w:eastAsia="仿宋_GB2312" w:cs="宋体"/>
                <w:color w:val="000000"/>
                <w:kern w:val="0"/>
                <w:sz w:val="24"/>
                <w:lang w:eastAsia="zh-CN"/>
              </w:rPr>
              <w:t>租赁或</w:t>
            </w:r>
            <w:r>
              <w:rPr>
                <w:rFonts w:hint="eastAsia" w:ascii="仿宋_GB2312" w:hAnsi="宋体" w:eastAsia="仿宋_GB2312" w:cs="宋体"/>
                <w:color w:val="000000"/>
                <w:kern w:val="0"/>
                <w:sz w:val="24"/>
              </w:rPr>
              <w:t>销售类似产品的合同（以合同签订时间为准，需提供合同复印件及采购方联系人、联系电话等）；</w:t>
            </w:r>
          </w:p>
          <w:p>
            <w:pPr>
              <w:keepNext w:val="0"/>
              <w:keepLines w:val="0"/>
              <w:pageBreakBefore w:val="0"/>
              <w:widowControl w:val="0"/>
              <w:kinsoku/>
              <w:wordWrap/>
              <w:overflowPunct/>
              <w:topLinePunct w:val="0"/>
              <w:autoSpaceDE/>
              <w:autoSpaceDN w:val="0"/>
              <w:bidi w:val="0"/>
              <w:adjustRightInd/>
              <w:snapToGrid/>
              <w:spacing w:line="336" w:lineRule="auto"/>
              <w:jc w:val="left"/>
              <w:textAlignment w:val="center"/>
              <w:outlineLvl w:val="9"/>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.具备AR增强现实远程协作软件的研发、维护和升级能力</w:t>
            </w:r>
            <w:r>
              <w:rPr>
                <w:rFonts w:hint="eastAsia" w:ascii="仿宋_GB2312" w:hAnsi="宋体" w:eastAsia="仿宋_GB2312" w:cs="宋体"/>
                <w:color w:val="000000"/>
                <w:kern w:val="0"/>
                <w:sz w:val="24"/>
                <w:lang w:eastAsia="zh-CN"/>
              </w:rPr>
              <w:t>；</w:t>
            </w:r>
          </w:p>
          <w:p>
            <w:pPr>
              <w:keepNext w:val="0"/>
              <w:keepLines w:val="0"/>
              <w:pageBreakBefore w:val="0"/>
              <w:widowControl w:val="0"/>
              <w:kinsoku/>
              <w:wordWrap/>
              <w:overflowPunct/>
              <w:topLinePunct w:val="0"/>
              <w:autoSpaceDE/>
              <w:autoSpaceDN w:val="0"/>
              <w:bidi w:val="0"/>
              <w:adjustRightInd/>
              <w:snapToGrid/>
              <w:spacing w:line="336" w:lineRule="auto"/>
              <w:jc w:val="left"/>
              <w:textAlignment w:val="center"/>
              <w:outlineLvl w:val="9"/>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.具备根据</w:t>
            </w:r>
            <w:r>
              <w:rPr>
                <w:rFonts w:hint="eastAsia" w:ascii="仿宋_GB2312" w:hAnsi="宋体" w:eastAsia="仿宋_GB2312" w:cs="宋体"/>
                <w:color w:val="000000"/>
                <w:kern w:val="0"/>
                <w:sz w:val="24"/>
                <w:lang w:val="en-US" w:eastAsia="zh-CN"/>
              </w:rPr>
              <w:t>采购</w:t>
            </w:r>
            <w:r>
              <w:rPr>
                <w:rFonts w:hint="eastAsia" w:ascii="仿宋_GB2312" w:hAnsi="宋体" w:eastAsia="仿宋_GB2312" w:cs="宋体"/>
                <w:color w:val="000000"/>
                <w:kern w:val="0"/>
                <w:sz w:val="24"/>
                <w:lang w:eastAsia="zh-CN"/>
              </w:rPr>
              <w:t>方</w:t>
            </w:r>
            <w:r>
              <w:rPr>
                <w:rFonts w:hint="eastAsia" w:ascii="仿宋_GB2312" w:hAnsi="宋体" w:eastAsia="仿宋_GB2312" w:cs="宋体"/>
                <w:color w:val="000000"/>
                <w:kern w:val="0"/>
                <w:sz w:val="24"/>
              </w:rPr>
              <w:t>要求进行</w:t>
            </w:r>
            <w:r>
              <w:rPr>
                <w:rFonts w:hint="eastAsia" w:ascii="仿宋_GB2312" w:hAnsi="宋体" w:eastAsia="仿宋_GB2312" w:cs="宋体"/>
                <w:color w:val="000000"/>
                <w:kern w:val="0"/>
                <w:sz w:val="24"/>
                <w:lang w:eastAsia="zh-CN"/>
              </w:rPr>
              <w:t>软件</w:t>
            </w:r>
            <w:r>
              <w:rPr>
                <w:rFonts w:hint="eastAsia" w:ascii="仿宋_GB2312" w:hAnsi="宋体" w:eastAsia="仿宋_GB2312" w:cs="宋体"/>
                <w:color w:val="000000"/>
                <w:kern w:val="0"/>
                <w:sz w:val="24"/>
              </w:rPr>
              <w:t>客户化的能力</w:t>
            </w:r>
            <w:r>
              <w:rPr>
                <w:rFonts w:hint="eastAsia" w:ascii="仿宋_GB2312" w:hAnsi="宋体" w:eastAsia="仿宋_GB2312" w:cs="宋体"/>
                <w:color w:val="000000"/>
                <w:kern w:val="0"/>
                <w:sz w:val="24"/>
                <w:lang w:eastAsia="zh-CN"/>
              </w:rPr>
              <w:t>；</w:t>
            </w:r>
          </w:p>
          <w:p>
            <w:pPr>
              <w:keepNext w:val="0"/>
              <w:keepLines w:val="0"/>
              <w:pageBreakBefore w:val="0"/>
              <w:widowControl w:val="0"/>
              <w:kinsoku/>
              <w:wordWrap/>
              <w:overflowPunct/>
              <w:topLinePunct w:val="0"/>
              <w:autoSpaceDE/>
              <w:autoSpaceDN w:val="0"/>
              <w:bidi w:val="0"/>
              <w:adjustRightInd/>
              <w:snapToGrid/>
              <w:spacing w:line="336" w:lineRule="auto"/>
              <w:jc w:val="left"/>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.具备</w:t>
            </w:r>
            <w:r>
              <w:rPr>
                <w:rFonts w:hint="eastAsia" w:ascii="仿宋_GB2312" w:hAnsi="宋体" w:eastAsia="仿宋_GB2312" w:cs="宋体"/>
                <w:color w:val="000000"/>
                <w:kern w:val="0"/>
                <w:sz w:val="24"/>
                <w:lang w:eastAsia="zh-CN"/>
              </w:rPr>
              <w:t>软件</w:t>
            </w:r>
            <w:r>
              <w:rPr>
                <w:rFonts w:hint="eastAsia" w:ascii="仿宋_GB2312" w:hAnsi="宋体" w:eastAsia="仿宋_GB2312" w:cs="宋体"/>
                <w:color w:val="000000"/>
                <w:kern w:val="0"/>
                <w:sz w:val="24"/>
              </w:rPr>
              <w:t>使用培训能力；</w:t>
            </w:r>
          </w:p>
          <w:p>
            <w:pPr>
              <w:keepNext w:val="0"/>
              <w:keepLines w:val="0"/>
              <w:pageBreakBefore w:val="0"/>
              <w:widowControl w:val="0"/>
              <w:kinsoku/>
              <w:wordWrap/>
              <w:overflowPunct/>
              <w:topLinePunct w:val="0"/>
              <w:autoSpaceDE/>
              <w:autoSpaceDN w:val="0"/>
              <w:bidi w:val="0"/>
              <w:adjustRightInd/>
              <w:snapToGrid/>
              <w:spacing w:line="336" w:lineRule="auto"/>
              <w:jc w:val="left"/>
              <w:textAlignment w:val="center"/>
              <w:outlineLvl w:val="9"/>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具备针对上海地区的售后服务能力。</w:t>
            </w:r>
          </w:p>
        </w:tc>
      </w:tr>
      <w:tr>
        <w:tblPrEx>
          <w:tblLayout w:type="fixed"/>
          <w:tblCellMar>
            <w:top w:w="0" w:type="dxa"/>
            <w:left w:w="108" w:type="dxa"/>
            <w:bottom w:w="0" w:type="dxa"/>
            <w:right w:w="108" w:type="dxa"/>
          </w:tblCellMar>
        </w:tblPrEx>
        <w:trPr>
          <w:trHeight w:val="1549" w:hRule="atLeast"/>
        </w:trPr>
        <w:tc>
          <w:tcPr>
            <w:tcW w:w="241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200" w:type="dxa"/>
            <w:gridSpan w:val="6"/>
            <w:tcBorders>
              <w:top w:val="single" w:color="auto" w:sz="4" w:space="0"/>
              <w:left w:val="nil"/>
              <w:bottom w:val="single" w:color="auto" w:sz="4" w:space="0"/>
              <w:right w:val="single" w:color="auto" w:sz="4" w:space="0"/>
            </w:tcBorders>
            <w:vAlign w:val="center"/>
          </w:tcPr>
          <w:p>
            <w:pPr>
              <w:autoSpaceDN w:val="0"/>
              <w:adjustRightInd w:val="0"/>
              <w:snapToGrid w:val="0"/>
              <w:spacing w:line="300" w:lineRule="auto"/>
              <w:ind w:firstLine="480" w:firstLineChars="200"/>
              <w:textAlignment w:val="center"/>
              <w:rPr>
                <w:rFonts w:hint="eastAsia" w:ascii="仿宋_GB2312" w:hAnsi="宋体" w:eastAsia="仿宋_GB2312" w:cs="宋体"/>
                <w:sz w:val="24"/>
              </w:rPr>
            </w:pPr>
            <w:r>
              <w:rPr>
                <w:rFonts w:hint="eastAsia" w:ascii="仿宋_GB2312" w:hAnsi="宋体" w:eastAsia="仿宋_GB2312" w:cs="宋体"/>
                <w:sz w:val="24"/>
              </w:rPr>
              <w:t>本次采购</w:t>
            </w:r>
            <w:r>
              <w:rPr>
                <w:rFonts w:hint="eastAsia" w:ascii="仿宋_GB2312" w:hAnsi="宋体" w:eastAsia="仿宋_GB2312" w:cs="宋体"/>
                <w:sz w:val="24"/>
                <w:lang w:eastAsia="zh-CN"/>
              </w:rPr>
              <w:t>租赁</w:t>
            </w:r>
            <w:r>
              <w:rPr>
                <w:rFonts w:hint="eastAsia" w:ascii="仿宋_GB2312" w:hAnsi="宋体" w:eastAsia="仿宋_GB2312" w:cs="宋体"/>
                <w:sz w:val="24"/>
              </w:rPr>
              <w:t>项目交付物包含软件及</w:t>
            </w:r>
            <w:r>
              <w:rPr>
                <w:rFonts w:hint="eastAsia" w:ascii="仿宋_GB2312" w:hAnsi="宋体" w:eastAsia="仿宋_GB2312" w:cs="宋体"/>
                <w:sz w:val="24"/>
                <w:lang w:eastAsia="zh-CN"/>
              </w:rPr>
              <w:t>其配套</w:t>
            </w:r>
            <w:r>
              <w:rPr>
                <w:rFonts w:hint="eastAsia" w:ascii="仿宋_GB2312" w:hAnsi="宋体" w:eastAsia="仿宋_GB2312" w:cs="宋体"/>
                <w:sz w:val="24"/>
              </w:rPr>
              <w:t>。</w:t>
            </w:r>
          </w:p>
          <w:p>
            <w:pPr>
              <w:autoSpaceDN w:val="0"/>
              <w:spacing w:line="280" w:lineRule="exact"/>
              <w:ind w:firstLine="480" w:firstLineChars="200"/>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本次采购</w:t>
            </w:r>
            <w:r>
              <w:rPr>
                <w:rFonts w:hint="eastAsia" w:ascii="仿宋_GB2312" w:hAnsi="宋体" w:eastAsia="仿宋_GB2312" w:cs="宋体"/>
                <w:sz w:val="24"/>
                <w:lang w:eastAsia="zh-CN"/>
              </w:rPr>
              <w:t>租赁</w:t>
            </w:r>
            <w:r>
              <w:rPr>
                <w:rFonts w:hint="eastAsia" w:ascii="仿宋_GB2312" w:hAnsi="宋体" w:eastAsia="仿宋_GB2312" w:cs="宋体"/>
                <w:color w:val="000000"/>
                <w:kern w:val="0"/>
                <w:sz w:val="24"/>
              </w:rPr>
              <w:t>项目详细技术要求详见附录。</w:t>
            </w:r>
          </w:p>
        </w:tc>
      </w:tr>
      <w:tr>
        <w:tblPrEx>
          <w:tblLayout w:type="fixed"/>
          <w:tblCellMar>
            <w:top w:w="0" w:type="dxa"/>
            <w:left w:w="108" w:type="dxa"/>
            <w:bottom w:w="0" w:type="dxa"/>
            <w:right w:w="108" w:type="dxa"/>
          </w:tblCellMar>
        </w:tblPrEx>
        <w:trPr>
          <w:trHeight w:val="1400" w:hRule="atLeast"/>
        </w:trPr>
        <w:tc>
          <w:tcPr>
            <w:tcW w:w="241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200"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val="0"/>
              <w:snapToGrid w:val="0"/>
              <w:spacing w:line="300" w:lineRule="auto"/>
              <w:ind w:firstLine="0" w:firstLineChars="0"/>
              <w:textAlignment w:val="center"/>
              <w:outlineLvl w:val="9"/>
              <w:rPr>
                <w:rFonts w:hint="eastAsia" w:ascii="仿宋_GB2312" w:hAnsi="宋体" w:eastAsia="仿宋_GB2312" w:cs="宋体"/>
                <w:sz w:val="24"/>
                <w:lang w:eastAsia="zh-CN"/>
              </w:rPr>
            </w:pPr>
            <w:r>
              <w:rPr>
                <w:rFonts w:hint="eastAsia" w:ascii="仿宋_GB2312" w:hAnsi="宋体" w:eastAsia="仿宋_GB2312" w:cs="宋体"/>
                <w:sz w:val="24"/>
                <w:lang w:val="en-US" w:eastAsia="zh-CN"/>
              </w:rPr>
              <w:t>1.</w:t>
            </w:r>
            <w:r>
              <w:rPr>
                <w:rFonts w:hint="eastAsia" w:ascii="仿宋_GB2312" w:hAnsi="宋体" w:eastAsia="仿宋_GB2312" w:cs="宋体"/>
                <w:sz w:val="24"/>
                <w:lang w:eastAsia="zh-CN"/>
              </w:rPr>
              <w:t>软件租赁</w:t>
            </w:r>
            <w:r>
              <w:rPr>
                <w:rFonts w:hint="eastAsia" w:ascii="仿宋_GB2312" w:hAnsi="宋体" w:eastAsia="仿宋_GB2312" w:cs="宋体"/>
                <w:sz w:val="24"/>
                <w:lang w:val="en-US" w:eastAsia="zh-CN"/>
              </w:rPr>
              <w:t>期限</w:t>
            </w:r>
            <w:r>
              <w:rPr>
                <w:rFonts w:hint="eastAsia" w:ascii="仿宋_GB2312" w:hAnsi="宋体" w:eastAsia="仿宋_GB2312" w:cs="宋体"/>
                <w:sz w:val="24"/>
                <w:lang w:eastAsia="zh-CN"/>
              </w:rPr>
              <w:t>为一年，以拟租赁软件交付验收通过之日起。</w:t>
            </w:r>
          </w:p>
          <w:p>
            <w:pPr>
              <w:keepNext w:val="0"/>
              <w:keepLines w:val="0"/>
              <w:pageBreakBefore w:val="0"/>
              <w:widowControl w:val="0"/>
              <w:kinsoku/>
              <w:wordWrap/>
              <w:overflowPunct/>
              <w:topLinePunct w:val="0"/>
              <w:autoSpaceDE/>
              <w:autoSpaceDN w:val="0"/>
              <w:bidi w:val="0"/>
              <w:adjustRightInd w:val="0"/>
              <w:snapToGrid w:val="0"/>
              <w:spacing w:line="300" w:lineRule="auto"/>
              <w:ind w:firstLine="0" w:firstLineChars="0"/>
              <w:textAlignment w:val="center"/>
              <w:outlineLvl w:val="9"/>
              <w:rPr>
                <w:rFonts w:ascii="仿宋_GB2312" w:hAnsi="宋体" w:eastAsia="仿宋_GB2312" w:cs="宋体"/>
                <w:sz w:val="24"/>
              </w:rPr>
            </w:pPr>
            <w:r>
              <w:rPr>
                <w:rFonts w:hint="eastAsia" w:ascii="仿宋_GB2312" w:hAnsi="宋体" w:eastAsia="仿宋_GB2312" w:cs="宋体"/>
                <w:sz w:val="24"/>
                <w:lang w:val="en-US" w:eastAsia="zh-CN"/>
              </w:rPr>
              <w:t>2.</w:t>
            </w:r>
            <w:r>
              <w:rPr>
                <w:rFonts w:hint="eastAsia" w:ascii="仿宋_GB2312" w:hAnsi="宋体" w:eastAsia="仿宋_GB2312" w:cs="宋体"/>
                <w:sz w:val="24"/>
              </w:rPr>
              <w:t>合同签订后</w:t>
            </w:r>
            <w:r>
              <w:rPr>
                <w:rFonts w:hint="eastAsia" w:ascii="仿宋_GB2312" w:hAnsi="宋体" w:eastAsia="仿宋_GB2312" w:cs="宋体"/>
                <w:sz w:val="24"/>
                <w:lang w:val="en-US" w:eastAsia="zh-CN"/>
              </w:rPr>
              <w:t>40</w:t>
            </w:r>
            <w:r>
              <w:rPr>
                <w:rFonts w:hint="eastAsia" w:ascii="仿宋_GB2312" w:hAnsi="宋体" w:eastAsia="仿宋_GB2312" w:cs="宋体"/>
                <w:sz w:val="24"/>
              </w:rPr>
              <w:t>个</w:t>
            </w:r>
            <w:r>
              <w:rPr>
                <w:rFonts w:hint="eastAsia" w:ascii="仿宋_GB2312" w:hAnsi="宋体" w:eastAsia="仿宋_GB2312" w:cs="宋体"/>
                <w:sz w:val="24"/>
                <w:lang w:eastAsia="zh-CN"/>
              </w:rPr>
              <w:t>工作日</w:t>
            </w:r>
            <w:r>
              <w:rPr>
                <w:rFonts w:hint="eastAsia" w:ascii="仿宋_GB2312" w:hAnsi="宋体" w:eastAsia="仿宋_GB2312" w:cs="宋体"/>
                <w:sz w:val="24"/>
              </w:rPr>
              <w:t>内完成</w:t>
            </w:r>
            <w:r>
              <w:rPr>
                <w:rFonts w:hint="eastAsia" w:ascii="仿宋_GB2312" w:hAnsi="宋体" w:eastAsia="仿宋_GB2312" w:cs="宋体"/>
                <w:sz w:val="24"/>
                <w:lang w:eastAsia="zh-CN"/>
              </w:rPr>
              <w:t>拟租赁软件</w:t>
            </w:r>
            <w:r>
              <w:rPr>
                <w:rFonts w:hint="eastAsia" w:ascii="仿宋_GB2312" w:hAnsi="宋体" w:eastAsia="仿宋_GB2312" w:cs="宋体"/>
                <w:sz w:val="24"/>
              </w:rPr>
              <w:t>及其配套</w:t>
            </w:r>
            <w:r>
              <w:rPr>
                <w:rFonts w:hint="eastAsia" w:ascii="仿宋_GB2312" w:hAnsi="宋体" w:eastAsia="仿宋_GB2312" w:cs="宋体"/>
                <w:sz w:val="24"/>
                <w:lang w:eastAsia="zh-CN"/>
              </w:rPr>
              <w:t>的交付</w:t>
            </w:r>
            <w:r>
              <w:rPr>
                <w:rFonts w:hint="eastAsia" w:ascii="仿宋_GB2312" w:hAnsi="宋体" w:eastAsia="仿宋_GB2312" w:cs="宋体"/>
                <w:sz w:val="24"/>
                <w:lang w:val="en-US" w:eastAsia="zh-CN"/>
              </w:rPr>
              <w:t>安装、调试、试运行</w:t>
            </w:r>
            <w:r>
              <w:rPr>
                <w:rFonts w:hint="eastAsia" w:ascii="仿宋_GB2312" w:hAnsi="宋体" w:eastAsia="仿宋_GB2312" w:cs="宋体"/>
                <w:sz w:val="24"/>
                <w:lang w:eastAsia="zh-CN"/>
              </w:rPr>
              <w:t>和相关使用培训，并提交验收</w:t>
            </w:r>
            <w:r>
              <w:rPr>
                <w:rFonts w:hint="eastAsia" w:ascii="仿宋_GB2312" w:hAnsi="宋体" w:eastAsia="仿宋_GB2312" w:cs="宋体"/>
                <w:sz w:val="24"/>
              </w:rPr>
              <w:t>。</w:t>
            </w:r>
          </w:p>
          <w:p>
            <w:pPr>
              <w:keepNext w:val="0"/>
              <w:keepLines w:val="0"/>
              <w:pageBreakBefore w:val="0"/>
              <w:widowControl w:val="0"/>
              <w:kinsoku/>
              <w:wordWrap/>
              <w:overflowPunct/>
              <w:topLinePunct w:val="0"/>
              <w:autoSpaceDE/>
              <w:autoSpaceDN w:val="0"/>
              <w:bidi w:val="0"/>
              <w:adjustRightInd w:val="0"/>
              <w:snapToGrid w:val="0"/>
              <w:spacing w:line="300" w:lineRule="auto"/>
              <w:ind w:firstLine="0" w:firstLineChars="0"/>
              <w:textAlignment w:val="center"/>
              <w:outlineLvl w:val="9"/>
              <w:rPr>
                <w:rFonts w:ascii="仿宋_GB2312" w:hAnsi="宋体" w:eastAsia="仿宋_GB2312" w:cs="宋体"/>
                <w:sz w:val="24"/>
              </w:rPr>
            </w:pPr>
            <w:r>
              <w:rPr>
                <w:rFonts w:hint="eastAsia" w:ascii="仿宋_GB2312" w:hAnsi="宋体" w:eastAsia="仿宋_GB2312" w:cs="宋体"/>
                <w:sz w:val="24"/>
                <w:lang w:val="en-US" w:eastAsia="zh-CN"/>
              </w:rPr>
              <w:t>3.</w:t>
            </w:r>
            <w:r>
              <w:rPr>
                <w:rFonts w:hint="eastAsia" w:ascii="仿宋_GB2312" w:hAnsi="宋体" w:eastAsia="仿宋_GB2312" w:cs="宋体"/>
                <w:sz w:val="24"/>
              </w:rPr>
              <w:t>付款条件：合同金额分两期支付，每期支付的金额和时间</w:t>
            </w:r>
            <w:r>
              <w:rPr>
                <w:rFonts w:hint="eastAsia" w:ascii="仿宋_GB2312" w:hAnsi="宋体" w:eastAsia="仿宋_GB2312" w:cs="宋体"/>
                <w:sz w:val="24"/>
                <w:lang w:eastAsia="zh-CN"/>
              </w:rPr>
              <w:t>要求</w:t>
            </w:r>
            <w:r>
              <w:rPr>
                <w:rFonts w:hint="eastAsia" w:ascii="仿宋_GB2312" w:hAnsi="宋体" w:eastAsia="仿宋_GB2312" w:cs="宋体"/>
                <w:sz w:val="24"/>
              </w:rPr>
              <w:t>如下：</w:t>
            </w:r>
          </w:p>
          <w:p>
            <w:pPr>
              <w:keepNext w:val="0"/>
              <w:keepLines w:val="0"/>
              <w:pageBreakBefore w:val="0"/>
              <w:widowControl w:val="0"/>
              <w:kinsoku/>
              <w:wordWrap/>
              <w:overflowPunct/>
              <w:topLinePunct w:val="0"/>
              <w:autoSpaceDE/>
              <w:autoSpaceDN w:val="0"/>
              <w:bidi w:val="0"/>
              <w:adjustRightInd w:val="0"/>
              <w:snapToGrid w:val="0"/>
              <w:spacing w:line="300" w:lineRule="auto"/>
              <w:ind w:firstLine="0" w:firstLineChars="0"/>
              <w:textAlignment w:val="center"/>
              <w:outlineLvl w:val="9"/>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 xml:space="preserve">3.1 </w:t>
            </w:r>
            <w:r>
              <w:rPr>
                <w:rFonts w:hint="eastAsia" w:ascii="仿宋_GB2312" w:hAnsi="宋体" w:eastAsia="仿宋_GB2312" w:cs="宋体"/>
                <w:sz w:val="24"/>
              </w:rPr>
              <w:t>第一期支付合同金额的9</w:t>
            </w:r>
            <w:r>
              <w:rPr>
                <w:rFonts w:hint="eastAsia" w:ascii="仿宋_GB2312" w:hAnsi="宋体" w:eastAsia="仿宋_GB2312" w:cs="宋体"/>
                <w:sz w:val="24"/>
                <w:lang w:val="en-US" w:eastAsia="zh-CN"/>
              </w:rPr>
              <w:t>0</w:t>
            </w:r>
            <w:r>
              <w:rPr>
                <w:rFonts w:hint="eastAsia" w:ascii="仿宋_GB2312" w:hAnsi="宋体" w:eastAsia="仿宋_GB2312" w:cs="宋体"/>
                <w:sz w:val="24"/>
              </w:rPr>
              <w:t>%，支付时间：完成与合同约定的详细技术要求</w:t>
            </w:r>
            <w:r>
              <w:rPr>
                <w:rFonts w:hint="eastAsia" w:ascii="仿宋_GB2312" w:hAnsi="宋体" w:eastAsia="仿宋_GB2312" w:cs="宋体"/>
                <w:sz w:val="24"/>
                <w:lang w:eastAsia="zh-CN"/>
              </w:rPr>
              <w:t>以及</w:t>
            </w:r>
            <w:r>
              <w:rPr>
                <w:rFonts w:hint="eastAsia" w:ascii="仿宋_GB2312" w:hAnsi="宋体" w:eastAsia="仿宋_GB2312" w:cs="宋体"/>
                <w:sz w:val="24"/>
              </w:rPr>
              <w:t>功能</w:t>
            </w:r>
            <w:r>
              <w:rPr>
                <w:rFonts w:hint="eastAsia" w:ascii="仿宋_GB2312" w:hAnsi="宋体" w:eastAsia="仿宋_GB2312" w:cs="宋体"/>
                <w:sz w:val="24"/>
                <w:lang w:eastAsia="zh-CN"/>
              </w:rPr>
              <w:t>和</w:t>
            </w:r>
            <w:r>
              <w:rPr>
                <w:rFonts w:hint="eastAsia" w:ascii="仿宋_GB2312" w:hAnsi="宋体" w:eastAsia="仿宋_GB2312" w:cs="宋体"/>
                <w:sz w:val="24"/>
              </w:rPr>
              <w:t>性能指标</w:t>
            </w:r>
            <w:r>
              <w:rPr>
                <w:rFonts w:hint="eastAsia" w:ascii="仿宋_GB2312" w:hAnsi="宋体" w:eastAsia="仿宋_GB2312" w:cs="宋体"/>
                <w:sz w:val="24"/>
                <w:lang w:eastAsia="zh-CN"/>
              </w:rPr>
              <w:t>的相符</w:t>
            </w:r>
            <w:r>
              <w:rPr>
                <w:rFonts w:hint="eastAsia" w:ascii="仿宋_GB2312" w:hAnsi="宋体" w:eastAsia="仿宋_GB2312" w:cs="宋体"/>
                <w:sz w:val="24"/>
              </w:rPr>
              <w:t>检查后</w:t>
            </w:r>
            <w:r>
              <w:rPr>
                <w:rFonts w:hint="eastAsia" w:ascii="仿宋_GB2312" w:hAnsi="宋体" w:eastAsia="仿宋_GB2312" w:cs="宋体"/>
                <w:sz w:val="24"/>
                <w:lang w:eastAsia="zh-CN"/>
              </w:rPr>
              <w:t>，并通过</w:t>
            </w:r>
            <w:r>
              <w:rPr>
                <w:rFonts w:hint="eastAsia" w:ascii="仿宋_GB2312" w:hAnsi="宋体" w:eastAsia="仿宋_GB2312" w:cs="宋体"/>
                <w:sz w:val="24"/>
              </w:rPr>
              <w:t>软件及其配套的租赁交付</w:t>
            </w:r>
            <w:r>
              <w:rPr>
                <w:rFonts w:hint="eastAsia" w:ascii="仿宋_GB2312" w:hAnsi="宋体" w:eastAsia="仿宋_GB2312" w:cs="宋体"/>
                <w:sz w:val="24"/>
                <w:lang w:eastAsia="zh-CN"/>
              </w:rPr>
              <w:t>验收</w:t>
            </w:r>
            <w:r>
              <w:rPr>
                <w:rFonts w:hint="eastAsia" w:ascii="仿宋_GB2312" w:hAnsi="宋体" w:eastAsia="仿宋_GB2312" w:cs="宋体"/>
                <w:sz w:val="24"/>
              </w:rPr>
              <w:t>，</w:t>
            </w:r>
            <w:r>
              <w:rPr>
                <w:rFonts w:hint="eastAsia" w:ascii="仿宋_GB2312" w:hAnsi="宋体" w:eastAsia="仿宋_GB2312" w:cs="宋体"/>
                <w:sz w:val="24"/>
                <w:lang w:eastAsia="zh-CN"/>
              </w:rPr>
              <w:t>收到</w:t>
            </w:r>
            <w:r>
              <w:rPr>
                <w:rFonts w:hint="eastAsia" w:ascii="仿宋_GB2312" w:hAnsi="宋体" w:eastAsia="仿宋_GB2312" w:cs="宋体"/>
                <w:sz w:val="24"/>
              </w:rPr>
              <w:t>供应商提供合法有效的</w:t>
            </w:r>
            <w:r>
              <w:rPr>
                <w:rFonts w:hint="eastAsia" w:ascii="仿宋_GB2312" w:hAnsi="宋体" w:eastAsia="仿宋_GB2312" w:cs="宋体"/>
                <w:sz w:val="24"/>
                <w:lang w:eastAsia="zh-CN"/>
              </w:rPr>
              <w:t>对应</w:t>
            </w:r>
            <w:r>
              <w:rPr>
                <w:rFonts w:hint="eastAsia" w:ascii="仿宋_GB2312" w:hAnsi="宋体" w:eastAsia="仿宋_GB2312" w:cs="宋体"/>
                <w:sz w:val="24"/>
              </w:rPr>
              <w:t>金额的增值税专用发票</w:t>
            </w:r>
            <w:r>
              <w:rPr>
                <w:rFonts w:hint="eastAsia" w:ascii="仿宋_GB2312" w:hAnsi="宋体" w:eastAsia="仿宋_GB2312" w:cs="宋体"/>
                <w:sz w:val="24"/>
                <w:lang w:eastAsia="zh-CN"/>
              </w:rPr>
              <w:t>之日起一个月内</w:t>
            </w:r>
            <w:r>
              <w:rPr>
                <w:rFonts w:hint="eastAsia" w:ascii="仿宋_GB2312" w:hAnsi="宋体" w:eastAsia="仿宋_GB2312" w:cs="宋体"/>
                <w:sz w:val="24"/>
              </w:rPr>
              <w:t>；</w:t>
            </w:r>
          </w:p>
          <w:p>
            <w:pPr>
              <w:keepNext w:val="0"/>
              <w:keepLines w:val="0"/>
              <w:pageBreakBefore w:val="0"/>
              <w:widowControl w:val="0"/>
              <w:kinsoku/>
              <w:wordWrap/>
              <w:overflowPunct/>
              <w:topLinePunct w:val="0"/>
              <w:autoSpaceDE/>
              <w:autoSpaceDN w:val="0"/>
              <w:bidi w:val="0"/>
              <w:adjustRightInd w:val="0"/>
              <w:snapToGrid w:val="0"/>
              <w:spacing w:line="300" w:lineRule="auto"/>
              <w:ind w:firstLine="0" w:firstLineChars="0"/>
              <w:textAlignment w:val="center"/>
              <w:outlineLvl w:val="9"/>
              <w:rPr>
                <w:rFonts w:hint="eastAsia" w:ascii="仿宋_GB2312" w:hAnsi="宋体" w:eastAsia="仿宋_GB2312" w:cs="宋体"/>
                <w:sz w:val="24"/>
              </w:rPr>
            </w:pPr>
            <w:r>
              <w:rPr>
                <w:rFonts w:hint="eastAsia" w:ascii="仿宋_GB2312" w:hAnsi="宋体" w:eastAsia="仿宋_GB2312" w:cs="宋体"/>
                <w:sz w:val="24"/>
                <w:lang w:val="en-US" w:eastAsia="zh-CN"/>
              </w:rPr>
              <w:t xml:space="preserve">3.2 </w:t>
            </w:r>
            <w:r>
              <w:rPr>
                <w:rFonts w:hint="eastAsia" w:ascii="仿宋_GB2312" w:hAnsi="宋体" w:eastAsia="仿宋_GB2312" w:cs="宋体"/>
                <w:sz w:val="24"/>
              </w:rPr>
              <w:t>第二期支付合同总金额的</w:t>
            </w:r>
            <w:r>
              <w:rPr>
                <w:rFonts w:hint="eastAsia" w:ascii="仿宋_GB2312" w:hAnsi="宋体" w:eastAsia="仿宋_GB2312" w:cs="宋体"/>
                <w:sz w:val="24"/>
                <w:lang w:val="en-US" w:eastAsia="zh-CN"/>
              </w:rPr>
              <w:t>10</w:t>
            </w:r>
            <w:r>
              <w:rPr>
                <w:rFonts w:hint="eastAsia" w:ascii="仿宋_GB2312" w:hAnsi="宋体" w:eastAsia="仿宋_GB2312" w:cs="宋体"/>
                <w:sz w:val="24"/>
              </w:rPr>
              <w:t>%，支付时间：</w:t>
            </w:r>
            <w:r>
              <w:rPr>
                <w:rFonts w:hint="eastAsia" w:ascii="仿宋_GB2312" w:hAnsi="宋体" w:eastAsia="仿宋_GB2312" w:cs="宋体"/>
                <w:sz w:val="24"/>
                <w:lang w:eastAsia="zh-CN"/>
              </w:rPr>
              <w:t>按合同约定租赁期限</w:t>
            </w:r>
            <w:r>
              <w:rPr>
                <w:rFonts w:hint="eastAsia" w:ascii="仿宋_GB2312" w:hAnsi="宋体" w:eastAsia="仿宋_GB2312" w:cs="宋体"/>
                <w:sz w:val="24"/>
              </w:rPr>
              <w:t>完成租赁软件及其配套的退租，检查与合同约定的退租要求相符后，</w:t>
            </w:r>
            <w:r>
              <w:rPr>
                <w:rFonts w:hint="eastAsia" w:ascii="仿宋_GB2312" w:hAnsi="宋体" w:eastAsia="仿宋_GB2312" w:cs="宋体"/>
                <w:sz w:val="24"/>
                <w:lang w:eastAsia="zh-CN"/>
              </w:rPr>
              <w:t>收到</w:t>
            </w:r>
            <w:r>
              <w:rPr>
                <w:rFonts w:hint="eastAsia" w:ascii="仿宋_GB2312" w:hAnsi="宋体" w:eastAsia="仿宋_GB2312" w:cs="宋体"/>
                <w:sz w:val="24"/>
              </w:rPr>
              <w:t>供应商提供合法有效的</w:t>
            </w:r>
            <w:r>
              <w:rPr>
                <w:rFonts w:hint="eastAsia" w:ascii="仿宋_GB2312" w:hAnsi="宋体" w:eastAsia="仿宋_GB2312" w:cs="宋体"/>
                <w:sz w:val="24"/>
                <w:lang w:eastAsia="zh-CN"/>
              </w:rPr>
              <w:t>对应</w:t>
            </w:r>
            <w:r>
              <w:rPr>
                <w:rFonts w:hint="eastAsia" w:ascii="仿宋_GB2312" w:hAnsi="宋体" w:eastAsia="仿宋_GB2312" w:cs="宋体"/>
                <w:sz w:val="24"/>
              </w:rPr>
              <w:t>金额的增值税专用发票</w:t>
            </w:r>
            <w:r>
              <w:rPr>
                <w:rFonts w:hint="eastAsia" w:ascii="仿宋_GB2312" w:hAnsi="宋体" w:eastAsia="仿宋_GB2312" w:cs="宋体"/>
                <w:sz w:val="24"/>
                <w:lang w:eastAsia="zh-CN"/>
              </w:rPr>
              <w:t>之日起一个月内</w:t>
            </w:r>
            <w:r>
              <w:rPr>
                <w:rFonts w:hint="eastAsia" w:ascii="仿宋_GB2312" w:hAnsi="宋体" w:eastAsia="仿宋_GB2312" w:cs="宋体"/>
                <w:sz w:val="24"/>
              </w:rPr>
              <w:t>。</w:t>
            </w:r>
          </w:p>
        </w:tc>
      </w:tr>
      <w:tr>
        <w:tblPrEx>
          <w:tblLayout w:type="fixed"/>
          <w:tblCellMar>
            <w:top w:w="0" w:type="dxa"/>
            <w:left w:w="108" w:type="dxa"/>
            <w:bottom w:w="0" w:type="dxa"/>
            <w:right w:w="108" w:type="dxa"/>
          </w:tblCellMar>
        </w:tblPrEx>
        <w:trPr>
          <w:trHeight w:val="559" w:hRule="atLeast"/>
        </w:trPr>
        <w:tc>
          <w:tcPr>
            <w:tcW w:w="2412"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截止时间</w:t>
            </w:r>
          </w:p>
        </w:tc>
        <w:tc>
          <w:tcPr>
            <w:tcW w:w="7200"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25</w:t>
            </w:r>
            <w:r>
              <w:rPr>
                <w:rFonts w:hint="eastAsia" w:ascii="仿宋_GB2312" w:hAnsi="宋体" w:eastAsia="仿宋_GB2312" w:cs="宋体"/>
                <w:color w:val="000000"/>
                <w:kern w:val="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20" w:hRule="atLeast"/>
        </w:trPr>
        <w:tc>
          <w:tcPr>
            <w:tcW w:w="2412" w:type="dxa"/>
            <w:tcBorders>
              <w:tl2br w:val="nil"/>
              <w:tr2bl w:val="nil"/>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l2br w:val="nil"/>
              <w:tr2bl w:val="nil"/>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微软雅黑" w:hAnsi="微软雅黑" w:eastAsia="微软雅黑" w:cs="微软雅黑"/>
                <w:color w:val="000000"/>
                <w:kern w:val="0"/>
                <w:position w:val="6"/>
                <w:sz w:val="24"/>
              </w:rPr>
              <w:t>■</w:t>
            </w:r>
            <w:r>
              <w:rPr>
                <w:rFonts w:hint="eastAsia" w:ascii="仿宋_GB2312" w:hAnsi="宋体" w:eastAsia="仿宋_GB2312" w:cs="宋体"/>
                <w:color w:val="000000"/>
                <w:kern w:val="0"/>
                <w:sz w:val="24"/>
              </w:rPr>
              <w:t>详细技术要求</w:t>
            </w:r>
          </w:p>
        </w:tc>
        <w:tc>
          <w:tcPr>
            <w:tcW w:w="1161" w:type="dxa"/>
            <w:gridSpan w:val="2"/>
            <w:tcBorders>
              <w:tl2br w:val="nil"/>
              <w:tr2bl w:val="nil"/>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l2br w:val="nil"/>
              <w:tr2bl w:val="nil"/>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817" w:type="dxa"/>
            <w:tcBorders>
              <w:tl2br w:val="nil"/>
              <w:tr2bl w:val="nil"/>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8"/>
        <w:ind w:firstLineChars="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br w:type="page"/>
      </w:r>
    </w:p>
    <w:p>
      <w:pPr>
        <w:pStyle w:val="8"/>
        <w:ind w:left="280" w:hanging="280" w:hangingChars="100"/>
        <w:jc w:val="center"/>
        <w:rPr>
          <w:rFonts w:ascii="黑体" w:eastAsia="黑体"/>
          <w:sz w:val="28"/>
          <w:szCs w:val="28"/>
        </w:rPr>
      </w:pPr>
      <w:r>
        <w:rPr>
          <w:rFonts w:hint="eastAsia" w:ascii="黑体" w:eastAsia="黑体"/>
          <w:sz w:val="28"/>
          <w:szCs w:val="28"/>
        </w:rPr>
        <w:t>附录1 详细技术要求</w:t>
      </w:r>
    </w:p>
    <w:p>
      <w:pPr>
        <w:rPr>
          <w:b/>
          <w:bCs/>
          <w:sz w:val="28"/>
          <w:szCs w:val="36"/>
        </w:rPr>
      </w:pPr>
      <w:r>
        <w:rPr>
          <w:rFonts w:hint="eastAsia"/>
          <w:b/>
          <w:bCs/>
          <w:sz w:val="28"/>
          <w:szCs w:val="36"/>
        </w:rPr>
        <w:t>AR增强现实远程协作软件</w:t>
      </w:r>
    </w:p>
    <w:tbl>
      <w:tblPr>
        <w:tblStyle w:val="7"/>
        <w:tblW w:w="9965"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76" w:type="dxa"/>
          </w:tcPr>
          <w:p>
            <w:pPr>
              <w:widowControl/>
              <w:spacing w:line="360" w:lineRule="auto"/>
              <w:ind w:right="26"/>
              <w:jc w:val="center"/>
              <w:textAlignment w:val="bottom"/>
              <w:rPr>
                <w:rFonts w:ascii="仿宋" w:hAnsi="仿宋" w:eastAsia="仿宋" w:cs="仿宋"/>
                <w:b/>
                <w:bCs/>
                <w:color w:val="000000"/>
                <w:sz w:val="24"/>
              </w:rPr>
            </w:pPr>
            <w:r>
              <w:rPr>
                <w:rFonts w:hint="eastAsia" w:ascii="仿宋" w:hAnsi="仿宋" w:eastAsia="仿宋" w:cs="仿宋"/>
                <w:b/>
                <w:bCs/>
                <w:color w:val="000000"/>
                <w:sz w:val="24"/>
              </w:rPr>
              <w:t>指标项</w:t>
            </w:r>
          </w:p>
        </w:tc>
        <w:tc>
          <w:tcPr>
            <w:tcW w:w="8389" w:type="dxa"/>
          </w:tcPr>
          <w:p>
            <w:pPr>
              <w:widowControl/>
              <w:spacing w:line="360" w:lineRule="auto"/>
              <w:ind w:right="26"/>
              <w:jc w:val="center"/>
              <w:textAlignment w:val="bottom"/>
              <w:rPr>
                <w:rFonts w:ascii="仿宋" w:hAnsi="仿宋" w:eastAsia="仿宋" w:cs="仿宋"/>
                <w:b/>
                <w:bCs/>
                <w:color w:val="000000"/>
                <w:sz w:val="24"/>
              </w:rPr>
            </w:pPr>
            <w:r>
              <w:rPr>
                <w:rFonts w:hint="eastAsia" w:ascii="仿宋" w:hAnsi="仿宋" w:eastAsia="仿宋" w:cs="仿宋"/>
                <w:b/>
                <w:bCs/>
                <w:color w:val="000000"/>
                <w:sz w:val="24"/>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jc w:val="center"/>
              <w:textAlignment w:val="bottom"/>
              <w:rPr>
                <w:rFonts w:hint="eastAsia" w:ascii="仿宋" w:hAnsi="仿宋" w:eastAsia="仿宋" w:cs="仿宋"/>
                <w:i w:val="0"/>
                <w:iCs w:val="0"/>
                <w:sz w:val="24"/>
                <w:szCs w:val="24"/>
                <w:lang w:eastAsia="zh-CN"/>
              </w:rPr>
            </w:pPr>
            <w:r>
              <w:rPr>
                <w:rFonts w:hint="eastAsia" w:ascii="仿宋" w:hAnsi="仿宋" w:eastAsia="仿宋" w:cs="仿宋"/>
                <w:i w:val="0"/>
                <w:iCs w:val="0"/>
                <w:sz w:val="24"/>
                <w:szCs w:val="24"/>
                <w:lang w:eastAsia="zh-CN"/>
              </w:rPr>
              <w:t>存储</w:t>
            </w:r>
          </w:p>
        </w:tc>
        <w:tc>
          <w:tcPr>
            <w:tcW w:w="8389" w:type="dxa"/>
          </w:tcPr>
          <w:p>
            <w:pPr>
              <w:keepNext w:val="0"/>
              <w:keepLines w:val="0"/>
              <w:pageBreakBefore w:val="0"/>
              <w:widowControl w:val="0"/>
              <w:numPr>
                <w:ilvl w:val="0"/>
                <w:numId w:val="1"/>
              </w:numPr>
              <w:kinsoku/>
              <w:wordWrap/>
              <w:overflowPunct/>
              <w:topLinePunct w:val="0"/>
              <w:autoSpaceDE/>
              <w:autoSpaceDN/>
              <w:bidi w:val="0"/>
              <w:spacing w:line="336" w:lineRule="auto"/>
              <w:ind w:left="420" w:hanging="420"/>
              <w:textAlignment w:val="auto"/>
              <w:outlineLvl w:val="9"/>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rPr>
              <w:t>支持</w:t>
            </w:r>
            <w:r>
              <w:rPr>
                <w:rFonts w:hint="eastAsia" w:ascii="仿宋" w:hAnsi="仿宋" w:eastAsia="仿宋" w:cs="仿宋"/>
                <w:i w:val="0"/>
                <w:iCs w:val="0"/>
                <w:sz w:val="24"/>
                <w:szCs w:val="24"/>
                <w:highlight w:val="none"/>
                <w:lang w:val="en-US" w:eastAsia="zh-CN"/>
              </w:rPr>
              <w:t>云端存储</w:t>
            </w:r>
            <w:r>
              <w:rPr>
                <w:rFonts w:hint="eastAsia" w:ascii="仿宋" w:hAnsi="仿宋" w:eastAsia="仿宋" w:cs="仿宋"/>
                <w:i w:val="0"/>
                <w:iCs w:val="0"/>
                <w:sz w:val="24"/>
                <w:szCs w:val="24"/>
                <w:highlight w:val="none"/>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jc w:val="center"/>
              <w:textAlignment w:val="bottom"/>
              <w:rPr>
                <w:rFonts w:hint="eastAsia" w:ascii="仿宋" w:hAnsi="仿宋" w:eastAsia="仿宋" w:cs="仿宋"/>
                <w:i w:val="0"/>
                <w:iCs w:val="0"/>
                <w:sz w:val="24"/>
                <w:szCs w:val="24"/>
              </w:rPr>
            </w:pPr>
            <w:r>
              <w:rPr>
                <w:rFonts w:hint="eastAsia" w:ascii="仿宋" w:hAnsi="仿宋" w:eastAsia="仿宋" w:cs="仿宋"/>
                <w:i w:val="0"/>
                <w:iCs w:val="0"/>
                <w:sz w:val="24"/>
                <w:szCs w:val="24"/>
              </w:rPr>
              <w:t>开发</w:t>
            </w:r>
          </w:p>
        </w:tc>
        <w:tc>
          <w:tcPr>
            <w:tcW w:w="8389" w:type="dxa"/>
          </w:tcPr>
          <w:p>
            <w:pPr>
              <w:keepNext w:val="0"/>
              <w:keepLines w:val="0"/>
              <w:pageBreakBefore w:val="0"/>
              <w:widowControl w:val="0"/>
              <w:numPr>
                <w:ilvl w:val="0"/>
                <w:numId w:val="1"/>
              </w:numPr>
              <w:kinsoku/>
              <w:wordWrap/>
              <w:overflowPunct/>
              <w:topLinePunct w:val="0"/>
              <w:autoSpaceDE/>
              <w:autoSpaceDN/>
              <w:bidi w:val="0"/>
              <w:spacing w:line="336" w:lineRule="auto"/>
              <w:ind w:left="420" w:hanging="420"/>
              <w:textAlignment w:val="auto"/>
              <w:outlineLvl w:val="9"/>
              <w:rPr>
                <w:rFonts w:hint="eastAsia" w:ascii="仿宋" w:hAnsi="仿宋" w:eastAsia="仿宋" w:cs="仿宋"/>
                <w:i w:val="0"/>
                <w:iCs w:val="0"/>
                <w:sz w:val="24"/>
                <w:szCs w:val="24"/>
                <w:highlight w:val="none"/>
              </w:rPr>
            </w:pPr>
            <w:r>
              <w:rPr>
                <w:rFonts w:hint="eastAsia" w:ascii="仿宋" w:hAnsi="仿宋" w:eastAsia="仿宋" w:cs="仿宋"/>
                <w:i w:val="0"/>
                <w:iCs w:val="0"/>
                <w:sz w:val="24"/>
                <w:szCs w:val="24"/>
                <w:highlight w:val="none"/>
                <w:lang w:val="en-US" w:eastAsia="zh-CN"/>
              </w:rPr>
              <w:t>AR眼镜</w:t>
            </w:r>
            <w:r>
              <w:rPr>
                <w:rFonts w:hint="eastAsia" w:ascii="仿宋" w:hAnsi="仿宋" w:eastAsia="仿宋" w:cs="仿宋"/>
                <w:i w:val="0"/>
                <w:iCs w:val="0"/>
                <w:strike w:val="0"/>
                <w:dstrike w:val="0"/>
                <w:sz w:val="24"/>
                <w:szCs w:val="24"/>
                <w:highlight w:val="none"/>
                <w:lang w:eastAsia="zh-CN"/>
              </w:rPr>
              <w:t>提供SDK,支持unity开发</w:t>
            </w:r>
            <w:r>
              <w:rPr>
                <w:rFonts w:hint="eastAsia" w:ascii="仿宋" w:hAnsi="仿宋" w:eastAsia="仿宋" w:cs="仿宋"/>
                <w:i w:val="0"/>
                <w:iCs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jc w:val="center"/>
              <w:textAlignment w:val="bottom"/>
              <w:rPr>
                <w:rFonts w:hint="eastAsia" w:ascii="仿宋" w:hAnsi="仿宋" w:eastAsia="仿宋" w:cs="仿宋"/>
                <w:i w:val="0"/>
                <w:iCs w:val="0"/>
                <w:sz w:val="24"/>
                <w:szCs w:val="24"/>
                <w:lang w:eastAsia="zh-CN"/>
              </w:rPr>
            </w:pPr>
            <w:r>
              <w:rPr>
                <w:rFonts w:hint="eastAsia" w:ascii="仿宋" w:hAnsi="仿宋" w:eastAsia="仿宋" w:cs="仿宋"/>
                <w:i w:val="0"/>
                <w:iCs w:val="0"/>
                <w:sz w:val="24"/>
                <w:szCs w:val="24"/>
                <w:lang w:eastAsia="zh-CN"/>
              </w:rPr>
              <w:t>网络</w:t>
            </w:r>
          </w:p>
        </w:tc>
        <w:tc>
          <w:tcPr>
            <w:tcW w:w="8389" w:type="dxa"/>
          </w:tcPr>
          <w:p>
            <w:pPr>
              <w:keepNext w:val="0"/>
              <w:keepLines w:val="0"/>
              <w:pageBreakBefore w:val="0"/>
              <w:widowControl w:val="0"/>
              <w:numPr>
                <w:ilvl w:val="0"/>
                <w:numId w:val="1"/>
              </w:numPr>
              <w:kinsoku/>
              <w:wordWrap/>
              <w:overflowPunct/>
              <w:topLinePunct w:val="0"/>
              <w:autoSpaceDE/>
              <w:autoSpaceDN/>
              <w:bidi w:val="0"/>
              <w:spacing w:line="336" w:lineRule="auto"/>
              <w:ind w:left="420" w:leftChars="0" w:hanging="420" w:firstLine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可支持</w:t>
            </w:r>
            <w:r>
              <w:rPr>
                <w:rFonts w:hint="eastAsia" w:ascii="仿宋" w:hAnsi="仿宋" w:eastAsia="仿宋" w:cs="仿宋"/>
                <w:sz w:val="24"/>
                <w:szCs w:val="24"/>
                <w:lang w:val="en-US" w:eastAsia="zh-CN"/>
              </w:rPr>
              <w:t>VPN保护下的网络视频流传输；</w:t>
            </w:r>
          </w:p>
          <w:p>
            <w:pPr>
              <w:keepNext w:val="0"/>
              <w:keepLines w:val="0"/>
              <w:pageBreakBefore w:val="0"/>
              <w:widowControl w:val="0"/>
              <w:numPr>
                <w:ilvl w:val="0"/>
                <w:numId w:val="1"/>
              </w:numPr>
              <w:kinsoku/>
              <w:wordWrap/>
              <w:overflowPunct/>
              <w:topLinePunct w:val="0"/>
              <w:autoSpaceDE/>
              <w:autoSpaceDN/>
              <w:bidi w:val="0"/>
              <w:spacing w:line="336" w:lineRule="auto"/>
              <w:ind w:left="420" w:leftChars="0" w:hanging="420" w:firstLineChars="0"/>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本地部署并进行网络配置，打通在</w:t>
            </w:r>
            <w:r>
              <w:rPr>
                <w:rFonts w:hint="eastAsia" w:ascii="仿宋" w:hAnsi="仿宋" w:eastAsia="仿宋" w:cs="仿宋"/>
                <w:sz w:val="24"/>
                <w:szCs w:val="24"/>
                <w:lang w:val="en-US" w:eastAsia="zh-CN"/>
              </w:rPr>
              <w:t>VPN保护下的网络传输。</w:t>
            </w:r>
          </w:p>
          <w:p>
            <w:pPr>
              <w:pStyle w:val="2"/>
              <w:numPr>
                <w:ilvl w:val="0"/>
                <w:numId w:val="1"/>
              </w:numPr>
              <w:ind w:left="420" w:leftChars="0" w:hanging="420" w:firstLineChars="0"/>
              <w:rPr>
                <w:rFonts w:hint="default"/>
                <w:lang w:val="en-US" w:eastAsia="zh-CN"/>
              </w:rPr>
            </w:pPr>
            <w:r>
              <w:rPr>
                <w:rFonts w:hint="eastAsia" w:ascii="仿宋" w:hAnsi="仿宋" w:eastAsia="仿宋" w:cs="仿宋"/>
                <w:i w:val="0"/>
                <w:iCs w:val="0"/>
                <w:sz w:val="24"/>
                <w:szCs w:val="24"/>
                <w:lang w:val="en-US" w:eastAsia="zh-CN"/>
              </w:rPr>
              <w:t>数据传输过程中应符合通用数据规范及数据使用方的保密要求，退租后，需按使用方要求进行数据安全处理。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jc w:val="center"/>
              <w:textAlignment w:val="bottom"/>
              <w:rPr>
                <w:rFonts w:hint="eastAsia" w:ascii="仿宋" w:hAnsi="仿宋" w:eastAsia="仿宋" w:cs="仿宋"/>
                <w:i w:val="0"/>
                <w:iCs w:val="0"/>
                <w:sz w:val="24"/>
                <w:szCs w:val="24"/>
              </w:rPr>
            </w:pPr>
            <w:r>
              <w:rPr>
                <w:rFonts w:hint="eastAsia" w:ascii="仿宋" w:hAnsi="仿宋" w:eastAsia="仿宋" w:cs="仿宋"/>
                <w:i w:val="0"/>
                <w:iCs w:val="0"/>
                <w:sz w:val="24"/>
                <w:szCs w:val="24"/>
              </w:rPr>
              <w:t>AR远程协作</w:t>
            </w:r>
          </w:p>
        </w:tc>
        <w:tc>
          <w:tcPr>
            <w:tcW w:w="8389" w:type="dxa"/>
          </w:tcPr>
          <w:p>
            <w:pPr>
              <w:pStyle w:val="9"/>
              <w:keepNext w:val="0"/>
              <w:keepLines w:val="0"/>
              <w:pageBreakBefore w:val="0"/>
              <w:widowControl w:val="0"/>
              <w:numPr>
                <w:ilvl w:val="0"/>
                <w:numId w:val="2"/>
              </w:numPr>
              <w:kinsoku/>
              <w:wordWrap/>
              <w:overflowPunct/>
              <w:topLinePunct w:val="0"/>
              <w:autoSpaceDE/>
              <w:autoSpaceDN/>
              <w:bidi w:val="0"/>
              <w:adjustRightInd w:val="0"/>
              <w:snapToGrid w:val="0"/>
              <w:spacing w:line="336" w:lineRule="auto"/>
              <w:ind w:left="420" w:hanging="420" w:firstLineChars="0"/>
              <w:jc w:val="left"/>
              <w:textAlignment w:val="auto"/>
              <w:outlineLvl w:val="9"/>
              <w:rPr>
                <w:rFonts w:hint="eastAsia" w:ascii="仿宋" w:hAnsi="仿宋" w:eastAsia="仿宋" w:cs="仿宋"/>
                <w:i w:val="0"/>
                <w:iCs w:val="0"/>
                <w:sz w:val="24"/>
                <w:szCs w:val="24"/>
              </w:rPr>
            </w:pPr>
            <w:r>
              <w:rPr>
                <w:rFonts w:hint="eastAsia" w:ascii="仿宋" w:hAnsi="仿宋" w:eastAsia="仿宋" w:cs="仿宋"/>
                <w:sz w:val="24"/>
              </w:rPr>
              <w:t>通过智能眼镜将第一视角音视频实时的传输给远程用户，同时提供语音、图文通讯、标记和文档收发功能，便于连线的双方或者多方可以进行实时的互动与指导</w:t>
            </w:r>
            <w:r>
              <w:rPr>
                <w:rFonts w:hint="eastAsia" w:ascii="仿宋" w:hAnsi="仿宋" w:eastAsia="仿宋" w:cs="仿宋"/>
                <w:sz w:val="24"/>
                <w:lang w:eastAsia="zh-CN"/>
              </w:rPr>
              <w:t>；</w:t>
            </w:r>
          </w:p>
          <w:p>
            <w:pPr>
              <w:pStyle w:val="9"/>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36" w:lineRule="auto"/>
              <w:ind w:left="420" w:hanging="420" w:firstLineChars="0"/>
              <w:jc w:val="left"/>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rPr>
              <w:t>高清音视频：音视频内容实时稳定传输，需保证远程前端与后端画面实时同步，即被支援方与支援方视野画面需保持一致，音视频画面高保真同步互传，保障长时间清晰通话；</w:t>
            </w:r>
          </w:p>
          <w:p>
            <w:pPr>
              <w:pStyle w:val="9"/>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36" w:lineRule="auto"/>
              <w:ind w:left="420" w:hanging="420" w:firstLineChars="0"/>
              <w:jc w:val="left"/>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rPr>
              <w:t>多方通讯：远程协作支持一对一、一对多等场景，用户可自由选择接入通讯的终端设备类型，支持多终端接入：包括但不限于AR眼镜、手机、平板电脑、PC等；</w:t>
            </w:r>
          </w:p>
          <w:p>
            <w:pPr>
              <w:pStyle w:val="9"/>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36" w:lineRule="auto"/>
              <w:ind w:left="420" w:hanging="420" w:firstLineChars="0"/>
              <w:jc w:val="left"/>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rPr>
              <w:t>内容标注：在远程协作中可对画面进行图片标注，专家端抓取需要标注的画面，进行标注并同步给现场端，现场端可实时观看到专家端的标注，同步接收指导进行操作；</w:t>
            </w:r>
          </w:p>
          <w:p>
            <w:pPr>
              <w:pStyle w:val="9"/>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36" w:lineRule="auto"/>
              <w:ind w:left="420" w:hanging="420" w:firstLineChars="0"/>
              <w:jc w:val="left"/>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rPr>
              <w:t>文件交互：协作中多方可以实时发送文字、图片、视频、技术文档资料等文件，使接入各方可以实时获取文件信息指导操作</w:t>
            </w:r>
            <w:r>
              <w:rPr>
                <w:rFonts w:hint="eastAsia" w:ascii="仿宋" w:hAnsi="仿宋" w:eastAsia="仿宋" w:cs="仿宋"/>
                <w:i w:val="0"/>
                <w:iCs w:val="0"/>
                <w:sz w:val="24"/>
                <w:szCs w:val="24"/>
                <w:lang w:eastAsia="zh-CN"/>
              </w:rPr>
              <w:t>；</w:t>
            </w:r>
          </w:p>
          <w:p>
            <w:pPr>
              <w:pStyle w:val="9"/>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36" w:lineRule="auto"/>
              <w:ind w:left="420" w:hanging="420" w:firstLineChars="0"/>
              <w:jc w:val="left"/>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lang w:val="en-US" w:eastAsia="zh-CN"/>
              </w:rPr>
              <w:t>支持与中国商飞运营合作平台内嵌式集成；</w:t>
            </w:r>
          </w:p>
          <w:p>
            <w:pPr>
              <w:pStyle w:val="9"/>
              <w:keepNext w:val="0"/>
              <w:keepLines w:val="0"/>
              <w:pageBreakBefore w:val="0"/>
              <w:widowControl w:val="0"/>
              <w:numPr>
                <w:ilvl w:val="0"/>
                <w:numId w:val="2"/>
              </w:numPr>
              <w:tabs>
                <w:tab w:val="left" w:pos="0"/>
              </w:tabs>
              <w:kinsoku/>
              <w:wordWrap/>
              <w:overflowPunct/>
              <w:topLinePunct w:val="0"/>
              <w:autoSpaceDE/>
              <w:autoSpaceDN/>
              <w:bidi w:val="0"/>
              <w:adjustRightInd w:val="0"/>
              <w:snapToGrid w:val="0"/>
              <w:spacing w:line="336" w:lineRule="auto"/>
              <w:ind w:left="420" w:hanging="420" w:firstLineChars="0"/>
              <w:jc w:val="left"/>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rPr>
              <w:t>可支持最高20路并发。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6" w:type="dxa"/>
            <w:vAlign w:val="center"/>
          </w:tcPr>
          <w:p>
            <w:pPr>
              <w:widowControl/>
              <w:spacing w:line="360" w:lineRule="auto"/>
              <w:ind w:right="26"/>
              <w:jc w:val="center"/>
              <w:textAlignment w:val="bottom"/>
              <w:rPr>
                <w:rFonts w:hint="eastAsia" w:ascii="仿宋" w:hAnsi="仿宋" w:eastAsia="仿宋" w:cs="仿宋"/>
                <w:i w:val="0"/>
                <w:iCs w:val="0"/>
                <w:sz w:val="24"/>
                <w:szCs w:val="24"/>
              </w:rPr>
            </w:pPr>
            <w:r>
              <w:rPr>
                <w:rFonts w:hint="eastAsia" w:ascii="仿宋" w:hAnsi="仿宋" w:eastAsia="仿宋" w:cs="仿宋"/>
                <w:i w:val="0"/>
                <w:iCs w:val="0"/>
                <w:sz w:val="24"/>
                <w:szCs w:val="24"/>
              </w:rPr>
              <w:t>AR标准作业</w:t>
            </w:r>
          </w:p>
        </w:tc>
        <w:tc>
          <w:tcPr>
            <w:tcW w:w="8389" w:type="dxa"/>
          </w:tcPr>
          <w:p>
            <w:pPr>
              <w:pStyle w:val="9"/>
              <w:keepNext w:val="0"/>
              <w:keepLines w:val="0"/>
              <w:pageBreakBefore w:val="0"/>
              <w:widowControl w:val="0"/>
              <w:numPr>
                <w:ilvl w:val="0"/>
                <w:numId w:val="2"/>
              </w:numPr>
              <w:kinsoku/>
              <w:wordWrap/>
              <w:overflowPunct/>
              <w:topLinePunct w:val="0"/>
              <w:autoSpaceDE/>
              <w:autoSpaceDN/>
              <w:bidi w:val="0"/>
              <w:spacing w:line="336" w:lineRule="auto"/>
              <w:ind w:left="420" w:hanging="420" w:firstLineChars="0"/>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rPr>
              <w:t>可根据航空公司维修工卡，编辑以创建电子工卡，并可进行流程的编辑，添加指引（包括文字、图片、视频、模型、动画等），并在AR眼镜、手机、平板电脑等移动终端上执行</w:t>
            </w:r>
            <w:r>
              <w:rPr>
                <w:rFonts w:hint="eastAsia" w:ascii="仿宋" w:hAnsi="仿宋" w:eastAsia="仿宋" w:cs="仿宋"/>
                <w:i w:val="0"/>
                <w:iCs w:val="0"/>
                <w:sz w:val="24"/>
                <w:szCs w:val="24"/>
                <w:lang w:eastAsia="zh-CN"/>
              </w:rPr>
              <w:t>；</w:t>
            </w:r>
          </w:p>
          <w:p>
            <w:pPr>
              <w:pStyle w:val="9"/>
              <w:keepNext w:val="0"/>
              <w:keepLines w:val="0"/>
              <w:pageBreakBefore w:val="0"/>
              <w:widowControl w:val="0"/>
              <w:numPr>
                <w:ilvl w:val="0"/>
                <w:numId w:val="2"/>
              </w:numPr>
              <w:kinsoku/>
              <w:wordWrap/>
              <w:overflowPunct/>
              <w:topLinePunct w:val="0"/>
              <w:autoSpaceDE/>
              <w:autoSpaceDN/>
              <w:bidi w:val="0"/>
              <w:spacing w:line="336" w:lineRule="auto"/>
              <w:ind w:left="420" w:hanging="420" w:firstLineChars="0"/>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rPr>
              <w:t>支持AR素材导入：包括物体识别数据、环境数据、3D模型、图片，支持IOT数据对接等</w:t>
            </w:r>
            <w:r>
              <w:rPr>
                <w:rFonts w:hint="eastAsia" w:ascii="仿宋" w:hAnsi="仿宋" w:eastAsia="仿宋" w:cs="仿宋"/>
                <w:i w:val="0"/>
                <w:iCs w:val="0"/>
                <w:sz w:val="24"/>
                <w:szCs w:val="24"/>
                <w:lang w:eastAsia="zh-CN"/>
              </w:rPr>
              <w:t>；</w:t>
            </w:r>
          </w:p>
          <w:p>
            <w:pPr>
              <w:pStyle w:val="9"/>
              <w:keepNext w:val="0"/>
              <w:keepLines w:val="0"/>
              <w:pageBreakBefore w:val="0"/>
              <w:widowControl w:val="0"/>
              <w:numPr>
                <w:ilvl w:val="0"/>
                <w:numId w:val="2"/>
              </w:numPr>
              <w:kinsoku/>
              <w:wordWrap/>
              <w:overflowPunct/>
              <w:topLinePunct w:val="0"/>
              <w:autoSpaceDE/>
              <w:autoSpaceDN/>
              <w:bidi w:val="0"/>
              <w:spacing w:line="336" w:lineRule="auto"/>
              <w:ind w:left="420" w:hanging="420" w:firstLineChars="0"/>
              <w:textAlignment w:val="auto"/>
              <w:outlineLvl w:val="9"/>
              <w:rPr>
                <w:rFonts w:hint="eastAsia" w:ascii="仿宋" w:hAnsi="仿宋" w:eastAsia="仿宋" w:cs="仿宋"/>
                <w:i w:val="0"/>
                <w:iCs w:val="0"/>
                <w:sz w:val="24"/>
                <w:szCs w:val="24"/>
              </w:rPr>
            </w:pPr>
            <w:r>
              <w:rPr>
                <w:rFonts w:hint="eastAsia" w:ascii="仿宋" w:hAnsi="仿宋" w:eastAsia="仿宋" w:cs="仿宋"/>
                <w:i w:val="0"/>
                <w:iCs w:val="0"/>
                <w:sz w:val="24"/>
                <w:szCs w:val="24"/>
                <w:lang w:val="en-US" w:eastAsia="zh-CN"/>
              </w:rPr>
              <w:t>AR眼镜、手机、平板电脑等移动终端上AR标准作业内容（包括锚定在设备上的文字、图片、视频、模型、动画等）的显示顺序、大小等均可编辑</w:t>
            </w:r>
            <w:r>
              <w:rPr>
                <w:rFonts w:hint="eastAsia" w:ascii="仿宋" w:hAnsi="仿宋" w:eastAsia="仿宋" w:cs="仿宋"/>
                <w:i w:val="0"/>
                <w:iCs w:val="0"/>
                <w:sz w:val="24"/>
                <w:szCs w:val="24"/>
              </w:rPr>
              <w:t>。</w:t>
            </w:r>
          </w:p>
        </w:tc>
      </w:tr>
    </w:tbl>
    <w:p>
      <w:pPr>
        <w:pStyle w:val="8"/>
        <w:ind w:firstLineChars="0"/>
        <w:jc w:val="left"/>
        <w:rPr>
          <w:rFonts w:hint="eastAsia" w:ascii="仿宋_GB2312" w:eastAsia="仿宋_GB2312" w:cs="宋体"/>
          <w:color w:val="000000"/>
          <w:kern w:val="0"/>
          <w:sz w:val="22"/>
          <w:szCs w:val="22"/>
        </w:rPr>
      </w:pPr>
    </w:p>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或</w:t>
            </w:r>
            <w:r>
              <w:rPr>
                <w:rFonts w:hint="eastAsia" w:ascii="仿宋_GB2312" w:hAnsi="宋体" w:eastAsia="仿宋_GB2312" w:cs="宋体"/>
                <w:color w:val="000000"/>
                <w:kern w:val="0"/>
                <w:sz w:val="22"/>
                <w:szCs w:val="22"/>
              </w:rPr>
              <w:t>近三年的年度财务报表</w:t>
            </w:r>
            <w:r>
              <w:rPr>
                <w:rFonts w:hint="eastAsia" w:ascii="仿宋_GB2312" w:hAnsi="宋体" w:eastAsia="仿宋_GB2312" w:cs="宋体"/>
                <w:color w:val="000000"/>
                <w:kern w:val="0"/>
                <w:sz w:val="22"/>
                <w:szCs w:val="22"/>
                <w:lang w:eastAsia="zh-CN"/>
              </w:rPr>
              <w:t>公司盖章件</w:t>
            </w:r>
            <w:r>
              <w:rPr>
                <w:rFonts w:hint="eastAsia" w:ascii="仿宋_GB2312" w:hAnsi="宋体" w:eastAsia="仿宋_GB2312" w:cs="宋体"/>
                <w:color w:val="000000"/>
                <w:kern w:val="0"/>
                <w:sz w:val="22"/>
                <w:szCs w:val="22"/>
              </w:rPr>
              <w:t>*</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22"/>
        <w:szCs w:val="22"/>
      </w:rPr>
      <w:t>SACSC-RFQ-S-2023008</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11BB6"/>
    <w:multiLevelType w:val="singleLevel"/>
    <w:tmpl w:val="82F11BB6"/>
    <w:lvl w:ilvl="0" w:tentative="0">
      <w:start w:val="1"/>
      <w:numFmt w:val="bullet"/>
      <w:lvlText w:val=""/>
      <w:lvlJc w:val="left"/>
      <w:pPr>
        <w:ind w:left="420" w:hanging="420"/>
      </w:pPr>
      <w:rPr>
        <w:rFonts w:hint="default" w:ascii="Wingdings" w:hAnsi="Wingdings"/>
      </w:rPr>
    </w:lvl>
  </w:abstractNum>
  <w:abstractNum w:abstractNumId="1">
    <w:nsid w:val="192D77AE"/>
    <w:multiLevelType w:val="multilevel"/>
    <w:tmpl w:val="192D77A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lNDcxYWEyYzVmN2NlNTAxODllMDA2OTY1MWI3ZWUifQ=="/>
  </w:docVars>
  <w:rsids>
    <w:rsidRoot w:val="356626F1"/>
    <w:rsid w:val="001A6909"/>
    <w:rsid w:val="001B3A28"/>
    <w:rsid w:val="00372E50"/>
    <w:rsid w:val="00683528"/>
    <w:rsid w:val="00727F5E"/>
    <w:rsid w:val="00843BD0"/>
    <w:rsid w:val="00944C70"/>
    <w:rsid w:val="00990706"/>
    <w:rsid w:val="00BF2CF4"/>
    <w:rsid w:val="01C046BC"/>
    <w:rsid w:val="026A0F4D"/>
    <w:rsid w:val="030A6EF5"/>
    <w:rsid w:val="04AB3CAA"/>
    <w:rsid w:val="0580724E"/>
    <w:rsid w:val="06501779"/>
    <w:rsid w:val="06911CD2"/>
    <w:rsid w:val="07CA591F"/>
    <w:rsid w:val="0823400D"/>
    <w:rsid w:val="08D05F12"/>
    <w:rsid w:val="0D766D03"/>
    <w:rsid w:val="0DEE45A5"/>
    <w:rsid w:val="0E9B2F74"/>
    <w:rsid w:val="0FD95020"/>
    <w:rsid w:val="10B933E4"/>
    <w:rsid w:val="10D14AF4"/>
    <w:rsid w:val="114152D2"/>
    <w:rsid w:val="11CF7970"/>
    <w:rsid w:val="121162D5"/>
    <w:rsid w:val="158E17D0"/>
    <w:rsid w:val="176C2B9F"/>
    <w:rsid w:val="182F18B9"/>
    <w:rsid w:val="19745D74"/>
    <w:rsid w:val="1A567850"/>
    <w:rsid w:val="20B32033"/>
    <w:rsid w:val="247D4052"/>
    <w:rsid w:val="25FA4390"/>
    <w:rsid w:val="267A4EFC"/>
    <w:rsid w:val="27E62B9F"/>
    <w:rsid w:val="287D514D"/>
    <w:rsid w:val="2C5D4F56"/>
    <w:rsid w:val="2E5934EC"/>
    <w:rsid w:val="31DC0BAE"/>
    <w:rsid w:val="329E304E"/>
    <w:rsid w:val="34DD1DFE"/>
    <w:rsid w:val="356626F1"/>
    <w:rsid w:val="3847277C"/>
    <w:rsid w:val="3949651C"/>
    <w:rsid w:val="3B765C1F"/>
    <w:rsid w:val="3D28298B"/>
    <w:rsid w:val="46636AD9"/>
    <w:rsid w:val="4745528B"/>
    <w:rsid w:val="4A584D97"/>
    <w:rsid w:val="4B816FB1"/>
    <w:rsid w:val="4D9A739D"/>
    <w:rsid w:val="4DDB1906"/>
    <w:rsid w:val="4F36492B"/>
    <w:rsid w:val="52196A2E"/>
    <w:rsid w:val="56DA4CA8"/>
    <w:rsid w:val="58FD2C36"/>
    <w:rsid w:val="59DA2186"/>
    <w:rsid w:val="59FC6F73"/>
    <w:rsid w:val="5A215607"/>
    <w:rsid w:val="5BD11130"/>
    <w:rsid w:val="62BB0C12"/>
    <w:rsid w:val="62E555DF"/>
    <w:rsid w:val="63EB09BE"/>
    <w:rsid w:val="68347DE4"/>
    <w:rsid w:val="69B963D5"/>
    <w:rsid w:val="6E052620"/>
    <w:rsid w:val="6E6602BA"/>
    <w:rsid w:val="6E753C7D"/>
    <w:rsid w:val="70F549E6"/>
    <w:rsid w:val="743A279D"/>
    <w:rsid w:val="774E5C3F"/>
    <w:rsid w:val="77F52177"/>
    <w:rsid w:val="78DC31C7"/>
    <w:rsid w:val="797C6903"/>
    <w:rsid w:val="7BB063A9"/>
    <w:rsid w:val="7DCF7A31"/>
    <w:rsid w:val="7E010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toa heading"/>
    <w:basedOn w:val="1"/>
    <w:next w:val="1"/>
    <w:qFormat/>
    <w:uiPriority w:val="0"/>
    <w:pPr>
      <w:spacing w:before="120" w:line="360" w:lineRule="auto"/>
    </w:pPr>
    <w:rPr>
      <w:rFonts w:ascii="Arial" w:hAnsi="Arial" w:eastAsia="楷体_GB2312" w:cs="Arial"/>
      <w:sz w:val="24"/>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2447</Words>
  <Characters>2551</Characters>
  <Lines>6</Lines>
  <Paragraphs>1</Paragraphs>
  <TotalTime>4</TotalTime>
  <ScaleCrop>false</ScaleCrop>
  <LinksUpToDate>false</LinksUpToDate>
  <CharactersWithSpaces>2671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comac</cp:lastModifiedBy>
  <dcterms:modified xsi:type="dcterms:W3CDTF">2023-04-18T06:14:20Z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EB61E28932D4460995E89E8CB5DD6578</vt:lpwstr>
  </property>
</Properties>
</file>