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32"/>
          <w:szCs w:val="32"/>
        </w:rPr>
      </w:pPr>
    </w:p>
    <w:p>
      <w:pPr>
        <w:widowControl w:val="0"/>
        <w:spacing w:after="120"/>
        <w:jc w:val="both"/>
        <w:rPr>
          <w:rFonts w:hint="eastAsia" w:ascii="仿宋" w:hAnsi="仿宋" w:eastAsia="仿宋" w:cs="仿宋"/>
          <w:kern w:val="2"/>
          <w:sz w:val="32"/>
          <w:szCs w:val="32"/>
          <w:lang w:val="en-US" w:eastAsia="zh-CN" w:bidi="ar-SA"/>
        </w:rPr>
      </w:pPr>
    </w:p>
    <w:p>
      <w:pPr>
        <w:widowControl w:val="0"/>
        <w:spacing w:after="120"/>
        <w:jc w:val="both"/>
        <w:rPr>
          <w:rFonts w:hint="eastAsia" w:ascii="仿宋" w:hAnsi="仿宋" w:eastAsia="仿宋" w:cs="仿宋"/>
          <w:kern w:val="2"/>
          <w:sz w:val="32"/>
          <w:szCs w:val="32"/>
          <w:lang w:val="en-US" w:eastAsia="zh-CN" w:bidi="ar-SA"/>
        </w:rPr>
      </w:pPr>
    </w:p>
    <w:p>
      <w:pPr>
        <w:rPr>
          <w:rFonts w:hint="eastAsia" w:ascii="仿宋" w:hAnsi="仿宋" w:eastAsia="仿宋" w:cs="仿宋"/>
          <w:sz w:val="32"/>
          <w:szCs w:val="32"/>
        </w:rPr>
      </w:pPr>
    </w:p>
    <w:p>
      <w:pPr>
        <w:widowControl/>
        <w:spacing w:line="360" w:lineRule="auto"/>
        <w:jc w:val="center"/>
        <w:rPr>
          <w:rFonts w:ascii="黑体" w:eastAsia="黑体"/>
          <w:sz w:val="28"/>
          <w:szCs w:val="28"/>
        </w:rPr>
      </w:pPr>
      <w:r>
        <w:rPr>
          <w:rFonts w:hint="eastAsia" w:ascii="黑体" w:eastAsia="黑体"/>
          <w:sz w:val="28"/>
          <w:szCs w:val="28"/>
        </w:rPr>
        <w:t>上海飞机客户服务有限公司</w:t>
      </w:r>
    </w:p>
    <w:p>
      <w:pPr>
        <w:widowControl/>
        <w:spacing w:line="360" w:lineRule="auto"/>
        <w:jc w:val="center"/>
        <w:rPr>
          <w:rFonts w:ascii="黑体" w:eastAsia="黑体"/>
          <w:sz w:val="28"/>
          <w:szCs w:val="28"/>
        </w:rPr>
      </w:pPr>
      <w:r>
        <w:rPr>
          <w:rFonts w:hint="eastAsia" w:ascii="黑体" w:eastAsia="黑体"/>
          <w:sz w:val="28"/>
          <w:szCs w:val="28"/>
        </w:rPr>
        <w:t>竞争性谈判/询价文件</w:t>
      </w:r>
    </w:p>
    <w:p>
      <w:pPr>
        <w:adjustRightInd w:val="0"/>
        <w:snapToGrid w:val="0"/>
        <w:spacing w:line="360" w:lineRule="auto"/>
        <w:rPr>
          <w:rFonts w:ascii="仿宋_GB2312" w:eastAsia="仿宋_GB2312"/>
          <w:sz w:val="32"/>
        </w:rPr>
      </w:pPr>
    </w:p>
    <w:p>
      <w:pPr>
        <w:adjustRightInd w:val="0"/>
        <w:snapToGrid w:val="0"/>
        <w:spacing w:line="600" w:lineRule="exact"/>
        <w:ind w:firstLine="645"/>
        <w:rPr>
          <w:rFonts w:ascii="仿宋_GB2312" w:eastAsia="仿宋_GB2312"/>
          <w:sz w:val="32"/>
        </w:rPr>
      </w:pPr>
      <w:r>
        <w:rPr>
          <w:rFonts w:hint="eastAsia" w:ascii="仿宋_GB2312" w:eastAsia="仿宋_GB2312"/>
          <w:sz w:val="32"/>
        </w:rPr>
        <w:t>我公司有以下采购项目，具体要求和联系方式见下表和附录，如有意向请在有效期内提交报价文件。</w:t>
      </w: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r>
        <w:rPr>
          <w:rFonts w:hint="eastAsia" w:ascii="仿宋_GB2312" w:eastAsia="仿宋_GB2312"/>
          <w:sz w:val="32"/>
        </w:rPr>
        <w:t xml:space="preserve">  </w:t>
      </w:r>
      <w:r>
        <w:rPr>
          <w:rFonts w:hint="eastAsia" w:ascii="仿宋_GB2312" w:eastAsia="仿宋_GB2312"/>
          <w:sz w:val="32"/>
          <w:lang w:val="en-US" w:eastAsia="zh-CN"/>
        </w:rPr>
        <w:t xml:space="preserve">     </w:t>
      </w:r>
      <w:r>
        <w:rPr>
          <w:rFonts w:hint="eastAsia" w:ascii="仿宋_GB2312" w:eastAsia="仿宋_GB2312"/>
          <w:sz w:val="32"/>
        </w:rPr>
        <w:t xml:space="preserve">                 </w:t>
      </w:r>
      <w:r>
        <w:rPr>
          <w:rFonts w:hint="eastAsia" w:ascii="仿宋_GB2312" w:eastAsia="仿宋_GB2312"/>
          <w:sz w:val="32"/>
          <w:lang w:val="en-US" w:eastAsia="zh-CN"/>
        </w:rPr>
        <w:t xml:space="preserve">        </w:t>
      </w:r>
      <w:r>
        <w:rPr>
          <w:rFonts w:hint="eastAsia" w:ascii="仿宋_GB2312" w:eastAsia="仿宋_GB2312"/>
          <w:sz w:val="32"/>
        </w:rPr>
        <w:t xml:space="preserve"> </w:t>
      </w:r>
      <w:r>
        <w:rPr>
          <w:rFonts w:hint="eastAsia" w:ascii="仿宋_GB2312" w:eastAsia="仿宋_GB2312"/>
          <w:sz w:val="32"/>
          <w:lang w:val="en-US" w:eastAsia="zh-CN"/>
        </w:rPr>
        <w:t>2023</w:t>
      </w:r>
      <w:r>
        <w:rPr>
          <w:rFonts w:hint="eastAsia" w:ascii="仿宋_GB2312" w:eastAsia="仿宋_GB2312"/>
          <w:sz w:val="32"/>
        </w:rPr>
        <w:t>年</w:t>
      </w:r>
      <w:r>
        <w:rPr>
          <w:rFonts w:hint="eastAsia" w:ascii="仿宋_GB2312" w:eastAsia="仿宋_GB2312"/>
          <w:sz w:val="32"/>
          <w:lang w:val="en-US" w:eastAsia="zh-CN"/>
        </w:rPr>
        <w:t>4</w:t>
      </w:r>
      <w:r>
        <w:rPr>
          <w:rFonts w:hint="eastAsia" w:ascii="仿宋_GB2312" w:eastAsia="仿宋_GB2312"/>
          <w:sz w:val="32"/>
        </w:rPr>
        <w:t>月</w:t>
      </w:r>
      <w:r>
        <w:rPr>
          <w:rFonts w:hint="eastAsia" w:ascii="仿宋_GB2312" w:eastAsia="仿宋_GB2312"/>
          <w:sz w:val="32"/>
          <w:lang w:val="en-US" w:eastAsia="zh-CN"/>
        </w:rPr>
        <w:t>20</w:t>
      </w:r>
      <w:r>
        <w:rPr>
          <w:rFonts w:hint="eastAsia" w:ascii="仿宋_GB2312" w:eastAsia="仿宋_GB2312"/>
          <w:sz w:val="32"/>
        </w:rPr>
        <w:t>日</w:t>
      </w:r>
    </w:p>
    <w:p>
      <w:pPr>
        <w:adjustRightInd w:val="0"/>
        <w:snapToGrid w:val="0"/>
        <w:spacing w:line="600" w:lineRule="exact"/>
        <w:ind w:firstLine="645"/>
        <w:rPr>
          <w:rFonts w:ascii="仿宋_GB2312" w:eastAsia="仿宋_GB2312"/>
          <w:sz w:val="32"/>
        </w:rPr>
      </w:pPr>
    </w:p>
    <w:p>
      <w:pPr>
        <w:pStyle w:val="8"/>
        <w:ind w:firstLineChars="0"/>
        <w:jc w:val="left"/>
      </w:pPr>
    </w:p>
    <w:p>
      <w:pPr>
        <w:pStyle w:val="8"/>
        <w:ind w:firstLineChars="0"/>
        <w:jc w:val="left"/>
      </w:pPr>
    </w:p>
    <w:p>
      <w:pPr>
        <w:pStyle w:val="8"/>
        <w:ind w:firstLineChars="0"/>
        <w:jc w:val="left"/>
      </w:pPr>
      <w:r>
        <w:br w:type="page"/>
      </w:r>
    </w:p>
    <w:tbl>
      <w:tblPr>
        <w:tblStyle w:val="7"/>
        <w:tblpPr w:leftFromText="180" w:rightFromText="180" w:vertAnchor="text" w:horzAnchor="page" w:tblpX="1580" w:tblpY="457"/>
        <w:tblOverlap w:val="never"/>
        <w:tblW w:w="9570" w:type="dxa"/>
        <w:tblInd w:w="0" w:type="dxa"/>
        <w:tblLayout w:type="fixed"/>
        <w:tblCellMar>
          <w:top w:w="0" w:type="dxa"/>
          <w:left w:w="108" w:type="dxa"/>
          <w:bottom w:w="0" w:type="dxa"/>
          <w:right w:w="108" w:type="dxa"/>
        </w:tblCellMar>
      </w:tblPr>
      <w:tblGrid>
        <w:gridCol w:w="2689"/>
        <w:gridCol w:w="2268"/>
        <w:gridCol w:w="1275"/>
        <w:gridCol w:w="3338"/>
      </w:tblGrid>
      <w:tr>
        <w:tblPrEx>
          <w:tblLayout w:type="fixed"/>
          <w:tblCellMar>
            <w:top w:w="0" w:type="dxa"/>
            <w:left w:w="108" w:type="dxa"/>
            <w:bottom w:w="0" w:type="dxa"/>
            <w:right w:w="108" w:type="dxa"/>
          </w:tblCellMar>
        </w:tblPrEx>
        <w:trPr>
          <w:trHeight w:val="840" w:hRule="atLeast"/>
        </w:trPr>
        <w:tc>
          <w:tcPr>
            <w:tcW w:w="2689" w:type="dxa"/>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采购方</w:t>
            </w:r>
          </w:p>
        </w:tc>
        <w:tc>
          <w:tcPr>
            <w:tcW w:w="6881" w:type="dxa"/>
            <w:gridSpan w:val="3"/>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上海飞机客户服务有限公司</w:t>
            </w:r>
          </w:p>
        </w:tc>
      </w:tr>
      <w:tr>
        <w:tblPrEx>
          <w:tblLayout w:type="fixed"/>
          <w:tblCellMar>
            <w:top w:w="0" w:type="dxa"/>
            <w:left w:w="108" w:type="dxa"/>
            <w:bottom w:w="0" w:type="dxa"/>
            <w:right w:w="108" w:type="dxa"/>
          </w:tblCellMar>
        </w:tblPrEx>
        <w:trPr>
          <w:trHeight w:val="634"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采购实施部门联系人</w:t>
            </w:r>
          </w:p>
        </w:tc>
        <w:tc>
          <w:tcPr>
            <w:tcW w:w="2268" w:type="dxa"/>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朱虹</w:t>
            </w:r>
            <w:r>
              <w:rPr>
                <w:rFonts w:hint="eastAsia" w:ascii="仿宋_GB2312" w:hAnsi="宋体" w:eastAsia="仿宋_GB2312" w:cs="宋体"/>
                <w:color w:val="000000"/>
                <w:kern w:val="0"/>
                <w:sz w:val="24"/>
              </w:rPr>
              <w:t>　</w:t>
            </w:r>
          </w:p>
        </w:tc>
        <w:tc>
          <w:tcPr>
            <w:tcW w:w="1275" w:type="dxa"/>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联系地址</w:t>
            </w:r>
          </w:p>
        </w:tc>
        <w:tc>
          <w:tcPr>
            <w:tcW w:w="3338" w:type="dxa"/>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上海市闵行区江川东路100号</w:t>
            </w:r>
          </w:p>
        </w:tc>
      </w:tr>
      <w:tr>
        <w:tblPrEx>
          <w:tblLayout w:type="fixed"/>
          <w:tblCellMar>
            <w:top w:w="0" w:type="dxa"/>
            <w:left w:w="108" w:type="dxa"/>
            <w:bottom w:w="0" w:type="dxa"/>
            <w:right w:w="108" w:type="dxa"/>
          </w:tblCellMar>
        </w:tblPrEx>
        <w:trPr>
          <w:trHeight w:val="701"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联系电话</w:t>
            </w:r>
          </w:p>
        </w:tc>
        <w:tc>
          <w:tcPr>
            <w:tcW w:w="2268" w:type="dxa"/>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18019195439</w:t>
            </w:r>
            <w:r>
              <w:rPr>
                <w:rFonts w:hint="eastAsia" w:ascii="仿宋_GB2312" w:hAnsi="宋体" w:eastAsia="仿宋_GB2312" w:cs="宋体"/>
                <w:color w:val="000000"/>
                <w:kern w:val="0"/>
                <w:sz w:val="24"/>
              </w:rPr>
              <w:t>　</w:t>
            </w:r>
          </w:p>
        </w:tc>
        <w:tc>
          <w:tcPr>
            <w:tcW w:w="1275" w:type="dxa"/>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E-Mail</w:t>
            </w:r>
          </w:p>
        </w:tc>
        <w:tc>
          <w:tcPr>
            <w:tcW w:w="3338" w:type="dxa"/>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zhuhong3@comac.cc</w:t>
            </w: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725"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项目名称</w:t>
            </w:r>
          </w:p>
        </w:tc>
        <w:tc>
          <w:tcPr>
            <w:tcW w:w="6881" w:type="dxa"/>
            <w:gridSpan w:val="3"/>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hint="eastAsia" w:ascii="仿宋_GB2312" w:hAnsi="宋体" w:eastAsia="宋体" w:cs="宋体"/>
                <w:color w:val="000000"/>
                <w:kern w:val="0"/>
                <w:sz w:val="24"/>
                <w:lang w:val="en-US" w:eastAsia="zh-CN"/>
              </w:rPr>
            </w:pPr>
            <w:r>
              <w:rPr>
                <w:rFonts w:hint="eastAsia" w:ascii="仿宋_GB2312" w:hAnsi="宋体" w:eastAsia="仿宋_GB2312" w:cs="宋体"/>
                <w:color w:val="000000"/>
                <w:kern w:val="0"/>
                <w:sz w:val="24"/>
              </w:rPr>
              <w:t>　</w:t>
            </w:r>
            <w:r>
              <w:rPr>
                <w:rFonts w:hint="eastAsia" w:ascii="仿宋_GB2312" w:hAnsi="宋体" w:eastAsia="仿宋_GB2312" w:cs="宋体"/>
                <w:color w:val="000000"/>
                <w:kern w:val="0"/>
                <w:sz w:val="24"/>
                <w:lang w:eastAsia="zh-CN"/>
              </w:rPr>
              <w:t>WiFi覆盖扩容设备采购项目</w:t>
            </w:r>
            <w:bookmarkStart w:id="0" w:name="_GoBack"/>
            <w:bookmarkEnd w:id="0"/>
          </w:p>
        </w:tc>
      </w:tr>
      <w:tr>
        <w:tblPrEx>
          <w:tblLayout w:type="fixed"/>
          <w:tblCellMar>
            <w:top w:w="0" w:type="dxa"/>
            <w:left w:w="108" w:type="dxa"/>
            <w:bottom w:w="0" w:type="dxa"/>
            <w:right w:w="108" w:type="dxa"/>
          </w:tblCellMar>
        </w:tblPrEx>
        <w:trPr>
          <w:trHeight w:val="1680"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供应商资质要求</w:t>
            </w:r>
          </w:p>
        </w:tc>
        <w:tc>
          <w:tcPr>
            <w:tcW w:w="6881" w:type="dxa"/>
            <w:gridSpan w:val="3"/>
            <w:tcBorders>
              <w:top w:val="single" w:color="auto" w:sz="4" w:space="0"/>
              <w:left w:val="nil"/>
              <w:bottom w:val="single" w:color="auto" w:sz="4" w:space="0"/>
              <w:right w:val="single" w:color="auto" w:sz="4" w:space="0"/>
            </w:tcBorders>
            <w:vAlign w:val="center"/>
          </w:tcPr>
          <w:p>
            <w:pPr>
              <w:pStyle w:val="2"/>
              <w:numPr>
                <w:ilvl w:val="0"/>
                <w:numId w:val="1"/>
              </w:numPr>
              <w:jc w:val="left"/>
            </w:pPr>
            <w:r>
              <w:rPr>
                <w:rFonts w:hint="eastAsia" w:ascii="仿宋_GB2312" w:hAnsi="宋体" w:eastAsia="仿宋_GB2312" w:cs="宋体"/>
                <w:color w:val="000000"/>
                <w:kern w:val="0"/>
                <w:sz w:val="24"/>
              </w:rPr>
              <w:t>具有</w:t>
            </w:r>
            <w:r>
              <w:rPr>
                <w:rFonts w:hint="eastAsia" w:ascii="仿宋_GB2312" w:hAnsi="宋体" w:eastAsia="仿宋_GB2312" w:cs="宋体"/>
                <w:color w:val="000000"/>
                <w:kern w:val="0"/>
                <w:sz w:val="24"/>
                <w:lang w:val="en-US" w:eastAsia="zh-CN"/>
              </w:rPr>
              <w:t>独立法人资质，具有</w:t>
            </w:r>
            <w:r>
              <w:rPr>
                <w:rFonts w:hint="eastAsia" w:ascii="仿宋_GB2312" w:hAnsi="宋体" w:eastAsia="仿宋_GB2312" w:cs="宋体"/>
                <w:color w:val="000000"/>
                <w:kern w:val="0"/>
                <w:sz w:val="24"/>
              </w:rPr>
              <w:t>企业法人营业执照并具有完成本项目所需的经营范围及资质</w:t>
            </w:r>
            <w:r>
              <w:rPr>
                <w:rFonts w:hint="eastAsia" w:ascii="仿宋_GB2312" w:hAnsi="宋体" w:eastAsia="仿宋_GB2312" w:cs="宋体"/>
                <w:color w:val="000000"/>
                <w:kern w:val="0"/>
                <w:sz w:val="24"/>
                <w:lang w:eastAsia="zh-CN"/>
              </w:rPr>
              <w:t>；</w:t>
            </w:r>
          </w:p>
          <w:p>
            <w:pPr>
              <w:pStyle w:val="2"/>
              <w:numPr>
                <w:ilvl w:val="0"/>
                <w:numId w:val="1"/>
              </w:numPr>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在签署本项目合同及履行本项目义务时无任何法律障碍和重大事件影响继续正常存续和全面履行本项目合同的能力，包括但不限于正在审理或执行完毕的标的金额大于500 万元人民币（含本数）的重大诉讼案件、债权债务纠纷、行政处罚，未被列为失信被执行人；</w:t>
            </w:r>
          </w:p>
          <w:p>
            <w:pPr>
              <w:pStyle w:val="2"/>
              <w:numPr>
                <w:ilvl w:val="0"/>
                <w:numId w:val="1"/>
              </w:numPr>
              <w:jc w:val="left"/>
              <w:rPr>
                <w:rFonts w:hint="eastAsia" w:ascii="仿宋_GB2312" w:hAnsi="宋体" w:eastAsia="仿宋_GB2312" w:cs="宋体"/>
                <w:color w:val="000000"/>
                <w:kern w:val="0"/>
                <w:sz w:val="24"/>
                <w:lang w:eastAsia="zh-CN"/>
              </w:rPr>
            </w:pPr>
            <w:r>
              <w:rPr>
                <w:rFonts w:hint="eastAsia" w:ascii="仿宋_GB2312" w:hAnsi="宋体" w:eastAsia="仿宋_GB2312" w:cs="宋体"/>
                <w:color w:val="000000"/>
                <w:kern w:val="0"/>
                <w:sz w:val="24"/>
              </w:rPr>
              <w:t>中国商飞公司及其关联企业的在职人员及其直系亲属享有控制权的企事业单位不得参选</w:t>
            </w:r>
            <w:r>
              <w:rPr>
                <w:rFonts w:hint="eastAsia" w:ascii="仿宋_GB2312" w:hAnsi="宋体" w:eastAsia="仿宋_GB2312" w:cs="宋体"/>
                <w:color w:val="000000"/>
                <w:kern w:val="0"/>
                <w:sz w:val="24"/>
                <w:lang w:eastAsia="zh-CN"/>
              </w:rPr>
              <w:t>。</w:t>
            </w:r>
          </w:p>
          <w:p>
            <w:pPr>
              <w:pStyle w:val="2"/>
              <w:numPr>
                <w:ilvl w:val="0"/>
                <w:numId w:val="1"/>
              </w:numPr>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lang w:eastAsia="zh-CN"/>
              </w:rPr>
              <w:t>注册资本金不少于</w:t>
            </w:r>
            <w:r>
              <w:rPr>
                <w:rFonts w:hint="eastAsia" w:ascii="仿宋_GB2312" w:hAnsi="宋体" w:eastAsia="仿宋_GB2312" w:cs="宋体"/>
                <w:color w:val="000000"/>
                <w:kern w:val="0"/>
                <w:sz w:val="24"/>
                <w:lang w:val="en-US" w:eastAsia="zh-CN"/>
              </w:rPr>
              <w:t>1000万元人民币。</w:t>
            </w: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1544"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供应商能力要求</w:t>
            </w:r>
          </w:p>
        </w:tc>
        <w:tc>
          <w:tcPr>
            <w:tcW w:w="6881" w:type="dxa"/>
            <w:gridSpan w:val="3"/>
            <w:tcBorders>
              <w:top w:val="single" w:color="auto" w:sz="4" w:space="0"/>
              <w:left w:val="nil"/>
              <w:bottom w:val="single" w:color="auto" w:sz="4" w:space="0"/>
              <w:right w:val="single" w:color="auto" w:sz="4" w:space="0"/>
            </w:tcBorders>
            <w:vAlign w:val="center"/>
          </w:tcPr>
          <w:p>
            <w:pPr>
              <w:pStyle w:val="2"/>
              <w:numPr>
                <w:ilvl w:val="0"/>
                <w:numId w:val="0"/>
              </w:numPr>
              <w:jc w:val="left"/>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1、提供</w:t>
            </w:r>
            <w:r>
              <w:rPr>
                <w:rFonts w:hint="eastAsia" w:ascii="仿宋_GB2312" w:hAnsi="宋体" w:eastAsia="仿宋_GB2312" w:cs="宋体"/>
                <w:color w:val="000000"/>
                <w:kern w:val="0"/>
                <w:sz w:val="24"/>
              </w:rPr>
              <w:t>企业法定代表人资格证明或提供被授权人身份证明及</w:t>
            </w:r>
            <w:r>
              <w:rPr>
                <w:rFonts w:hint="eastAsia" w:ascii="仿宋_GB2312" w:hAnsi="宋体" w:eastAsia="仿宋_GB2312" w:cs="宋体"/>
                <w:color w:val="000000"/>
                <w:kern w:val="0"/>
                <w:sz w:val="24"/>
                <w:lang w:val="en-US" w:eastAsia="zh-CN"/>
              </w:rPr>
              <w:t>针对本项目的</w:t>
            </w:r>
            <w:r>
              <w:rPr>
                <w:rFonts w:hint="eastAsia" w:ascii="仿宋_GB2312" w:hAnsi="宋体" w:eastAsia="仿宋_GB2312" w:cs="宋体"/>
                <w:color w:val="000000"/>
                <w:kern w:val="0"/>
                <w:sz w:val="24"/>
              </w:rPr>
              <w:t>法人授权委托书</w:t>
            </w:r>
            <w:r>
              <w:rPr>
                <w:rFonts w:hint="eastAsia" w:ascii="仿宋_GB2312" w:hAnsi="宋体" w:eastAsia="仿宋_GB2312" w:cs="宋体"/>
                <w:color w:val="000000"/>
                <w:kern w:val="0"/>
                <w:sz w:val="24"/>
                <w:lang w:val="en-US" w:eastAsia="zh-CN"/>
              </w:rPr>
              <w:t>、营业执照复印件等相关资料；</w:t>
            </w:r>
          </w:p>
          <w:p>
            <w:pPr>
              <w:pStyle w:val="2"/>
              <w:numPr>
                <w:ilvl w:val="0"/>
                <w:numId w:val="0"/>
              </w:numPr>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2、</w:t>
            </w:r>
            <w:r>
              <w:rPr>
                <w:rFonts w:hint="eastAsia" w:ascii="仿宋_GB2312" w:hAnsi="宋体" w:eastAsia="仿宋_GB2312" w:cs="宋体"/>
                <w:color w:val="000000"/>
                <w:kern w:val="0"/>
                <w:sz w:val="24"/>
              </w:rPr>
              <w:t>提供</w:t>
            </w:r>
            <w:r>
              <w:rPr>
                <w:rFonts w:hint="eastAsia" w:ascii="仿宋_GB2312" w:hAnsi="宋体" w:eastAsia="仿宋_GB2312" w:cs="宋体"/>
                <w:color w:val="000000"/>
                <w:kern w:val="0"/>
                <w:sz w:val="24"/>
                <w:lang w:val="en-US" w:eastAsia="zh-CN"/>
              </w:rPr>
              <w:t>近三年经审计的年度财务报表或公司盖章版财务报表（公司成立若不满三年，则按实际情况提供）</w:t>
            </w:r>
            <w:r>
              <w:rPr>
                <w:rFonts w:hint="eastAsia" w:ascii="仿宋_GB2312" w:hAnsi="宋体" w:eastAsia="仿宋_GB2312" w:cs="宋体"/>
                <w:color w:val="000000"/>
                <w:kern w:val="0"/>
                <w:sz w:val="24"/>
              </w:rPr>
              <w:t>；</w:t>
            </w:r>
          </w:p>
          <w:p>
            <w:pPr>
              <w:pStyle w:val="2"/>
              <w:numPr>
                <w:ilvl w:val="0"/>
                <w:numId w:val="0"/>
              </w:numPr>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szCs w:val="24"/>
                <w:lang w:val="en-US" w:eastAsia="zh-CN"/>
              </w:rPr>
              <w:t>3、提供吸顶AP、高密AP、24口POE交换机、8口POE交换机、无线控制器等设备厂商针对本项目的项目授权书；</w:t>
            </w:r>
          </w:p>
          <w:p>
            <w:p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4、</w:t>
            </w:r>
            <w:r>
              <w:rPr>
                <w:rFonts w:hint="eastAsia" w:ascii="仿宋_GB2312" w:hAnsi="宋体" w:eastAsia="仿宋_GB2312" w:cs="宋体"/>
                <w:color w:val="000000"/>
                <w:kern w:val="0"/>
                <w:sz w:val="24"/>
              </w:rPr>
              <w:t>提供</w:t>
            </w:r>
            <w:r>
              <w:rPr>
                <w:rFonts w:hint="eastAsia" w:ascii="仿宋_GB2312" w:hAnsi="宋体" w:eastAsia="仿宋_GB2312" w:cs="宋体"/>
                <w:color w:val="000000"/>
                <w:kern w:val="0"/>
                <w:sz w:val="24"/>
                <w:lang w:val="en-US" w:eastAsia="zh-CN"/>
              </w:rPr>
              <w:t>3份</w:t>
            </w:r>
            <w:r>
              <w:rPr>
                <w:rFonts w:hint="eastAsia" w:ascii="仿宋_GB2312" w:hAnsi="宋体" w:eastAsia="仿宋_GB2312" w:cs="宋体"/>
                <w:color w:val="000000"/>
                <w:kern w:val="0"/>
                <w:sz w:val="24"/>
              </w:rPr>
              <w:t>类似案例相关合同证明文件。　</w:t>
            </w:r>
          </w:p>
        </w:tc>
      </w:tr>
      <w:tr>
        <w:tblPrEx>
          <w:tblLayout w:type="fixed"/>
          <w:tblCellMar>
            <w:top w:w="0" w:type="dxa"/>
            <w:left w:w="108" w:type="dxa"/>
            <w:bottom w:w="0" w:type="dxa"/>
            <w:right w:w="108" w:type="dxa"/>
          </w:tblCellMar>
        </w:tblPrEx>
        <w:trPr>
          <w:trHeight w:val="90"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项目技术要求</w:t>
            </w:r>
          </w:p>
        </w:tc>
        <w:tc>
          <w:tcPr>
            <w:tcW w:w="6881" w:type="dxa"/>
            <w:gridSpan w:val="3"/>
            <w:tcBorders>
              <w:top w:val="single" w:color="auto" w:sz="4" w:space="0"/>
              <w:left w:val="nil"/>
              <w:bottom w:val="single" w:color="auto" w:sz="4" w:space="0"/>
              <w:right w:val="single" w:color="auto" w:sz="4" w:space="0"/>
            </w:tcBorders>
            <w:vAlign w:val="center"/>
          </w:tcPr>
          <w:p>
            <w:pPr>
              <w:pStyle w:val="2"/>
              <w:numPr>
                <w:ilvl w:val="0"/>
                <w:numId w:val="2"/>
              </w:numPr>
              <w:ind w:leftChars="0"/>
              <w:jc w:val="left"/>
              <w:rPr>
                <w:rFonts w:hint="eastAsia" w:eastAsia="宋体"/>
                <w:lang w:eastAsia="zh-CN"/>
              </w:rPr>
            </w:pPr>
            <w:r>
              <w:rPr>
                <w:rFonts w:hint="eastAsia" w:ascii="仿宋_GB2312" w:hAnsi="宋体" w:eastAsia="仿宋_GB2312" w:cs="宋体"/>
                <w:color w:val="000000"/>
                <w:kern w:val="0"/>
                <w:sz w:val="24"/>
                <w:szCs w:val="24"/>
                <w:lang w:val="en-US" w:eastAsia="zh-CN" w:bidi="ar-SA"/>
              </w:rPr>
              <w:t>本项目是对现有设备扩容，</w:t>
            </w:r>
            <w:r>
              <w:rPr>
                <w:rFonts w:hint="eastAsia" w:ascii="仿宋_GB2312" w:hAnsi="宋体" w:eastAsia="仿宋_GB2312" w:cs="宋体"/>
                <w:color w:val="000000"/>
                <w:kern w:val="0"/>
                <w:sz w:val="24"/>
                <w:szCs w:val="24"/>
                <w:highlight w:val="none"/>
                <w:lang w:val="en-US" w:eastAsia="zh-CN" w:bidi="ar-SA"/>
              </w:rPr>
              <w:t>WiFi覆盖设备需完全兼容现有无线控制器、兼容现有网络设备；</w:t>
            </w:r>
          </w:p>
          <w:p>
            <w:p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szCs w:val="24"/>
                <w:highlight w:val="none"/>
                <w:lang w:val="en-US" w:eastAsia="zh-CN" w:bidi="ar-SA"/>
              </w:rPr>
              <w:t>2、详细技术要求见附件一。</w:t>
            </w: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1400"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项目进度要求</w:t>
            </w:r>
          </w:p>
        </w:tc>
        <w:tc>
          <w:tcPr>
            <w:tcW w:w="6881" w:type="dxa"/>
            <w:gridSpan w:val="3"/>
            <w:tcBorders>
              <w:top w:val="single" w:color="auto" w:sz="4" w:space="0"/>
              <w:left w:val="nil"/>
              <w:bottom w:val="single" w:color="auto" w:sz="4" w:space="0"/>
              <w:right w:val="single" w:color="auto" w:sz="4" w:space="0"/>
            </w:tcBorders>
            <w:vAlign w:val="center"/>
          </w:tcPr>
          <w:p>
            <w:pPr>
              <w:autoSpaceDN w:val="0"/>
              <w:spacing w:line="280" w:lineRule="exact"/>
              <w:jc w:val="lef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合同签订生效后的</w:t>
            </w:r>
            <w:r>
              <w:rPr>
                <w:rFonts w:hint="eastAsia" w:ascii="仿宋_GB2312" w:hAnsi="宋体" w:eastAsia="仿宋_GB2312" w:cs="宋体"/>
                <w:color w:val="000000"/>
                <w:kern w:val="0"/>
                <w:sz w:val="24"/>
                <w:lang w:val="en-US" w:eastAsia="zh-CN"/>
              </w:rPr>
              <w:t>两</w:t>
            </w:r>
            <w:r>
              <w:rPr>
                <w:rFonts w:hint="eastAsia" w:ascii="仿宋_GB2312" w:hAnsi="宋体" w:eastAsia="仿宋_GB2312" w:cs="宋体"/>
                <w:color w:val="000000"/>
                <w:kern w:val="0"/>
                <w:sz w:val="24"/>
              </w:rPr>
              <w:t>个月内完成安装调试工作。</w:t>
            </w:r>
            <w:r>
              <w:rPr>
                <w:rFonts w:hint="eastAsia" w:ascii="仿宋_GB2312" w:hAnsi="宋体" w:eastAsia="仿宋_GB2312" w:cs="宋体"/>
                <w:color w:val="000000"/>
                <w:kern w:val="0"/>
                <w:sz w:val="24"/>
                <w:lang w:eastAsia="zh-CN"/>
              </w:rPr>
              <w:t>设备质保期一年。</w:t>
            </w:r>
            <w:r>
              <w:rPr>
                <w:rFonts w:hint="eastAsia" w:ascii="仿宋_GB2312" w:hAnsi="宋体" w:eastAsia="仿宋_GB2312" w:cs="宋体"/>
                <w:color w:val="000000"/>
                <w:kern w:val="0"/>
                <w:sz w:val="24"/>
              </w:rPr>
              <w:t>　</w:t>
            </w:r>
          </w:p>
          <w:p>
            <w:pPr>
              <w:autoSpaceDN w:val="0"/>
              <w:spacing w:line="280" w:lineRule="exact"/>
              <w:jc w:val="lef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付款条件要求：合同金额分二期支付，通过银行转账的方式进行，每期支付的金额和时间如下：</w:t>
            </w:r>
          </w:p>
          <w:p>
            <w:pPr>
              <w:autoSpaceDN w:val="0"/>
              <w:spacing w:line="280" w:lineRule="exact"/>
              <w:jc w:val="lef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第一期支付合同总金额的95%，支付时间：卖方完成软硬件设备安装调试，验收合格，卖方提供全额的合法有效的增值税专用发票</w:t>
            </w:r>
            <w:r>
              <w:rPr>
                <w:rFonts w:hint="eastAsia" w:ascii="仿宋_GB2312" w:hAnsi="宋体" w:eastAsia="仿宋_GB2312" w:cs="宋体"/>
                <w:color w:val="000000"/>
                <w:kern w:val="0"/>
                <w:sz w:val="24"/>
                <w:lang w:eastAsia="zh-CN"/>
              </w:rPr>
              <w:t>后</w:t>
            </w:r>
            <w:r>
              <w:rPr>
                <w:rFonts w:hint="eastAsia" w:ascii="仿宋_GB2312" w:hAnsi="宋体" w:eastAsia="仿宋_GB2312" w:cs="宋体"/>
                <w:color w:val="000000"/>
                <w:kern w:val="0"/>
                <w:sz w:val="24"/>
                <w:lang w:val="en-US" w:eastAsia="zh-CN"/>
              </w:rPr>
              <w:t>30个工作日内完成支付</w:t>
            </w:r>
            <w:r>
              <w:rPr>
                <w:rFonts w:hint="eastAsia" w:ascii="仿宋_GB2312" w:hAnsi="宋体" w:eastAsia="仿宋_GB2312" w:cs="宋体"/>
                <w:color w:val="000000"/>
                <w:kern w:val="0"/>
                <w:sz w:val="24"/>
              </w:rPr>
              <w:t>；</w:t>
            </w:r>
          </w:p>
          <w:p>
            <w:p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第二期支付合同总金额的5%，支付时间：质保期结束，无质量问题</w:t>
            </w:r>
            <w:r>
              <w:rPr>
                <w:rFonts w:hint="eastAsia" w:ascii="仿宋_GB2312" w:hAnsi="宋体" w:eastAsia="仿宋_GB2312" w:cs="宋体"/>
                <w:color w:val="000000"/>
                <w:kern w:val="0"/>
                <w:sz w:val="24"/>
                <w:lang w:eastAsia="zh-CN"/>
              </w:rPr>
              <w:t>后</w:t>
            </w:r>
            <w:r>
              <w:rPr>
                <w:rFonts w:hint="eastAsia" w:ascii="仿宋_GB2312" w:hAnsi="宋体" w:eastAsia="仿宋_GB2312" w:cs="宋体"/>
                <w:color w:val="000000"/>
                <w:kern w:val="0"/>
                <w:sz w:val="24"/>
                <w:lang w:val="en-US" w:eastAsia="zh-CN"/>
              </w:rPr>
              <w:t>30个工作日内完成支付</w:t>
            </w: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59"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响应文件送达截止时间</w:t>
            </w:r>
          </w:p>
        </w:tc>
        <w:tc>
          <w:tcPr>
            <w:tcW w:w="6881" w:type="dxa"/>
            <w:gridSpan w:val="3"/>
            <w:tcBorders>
              <w:top w:val="single" w:color="auto" w:sz="4" w:space="0"/>
              <w:left w:val="nil"/>
              <w:bottom w:val="single" w:color="auto" w:sz="4" w:space="0"/>
              <w:right w:val="single" w:color="auto" w:sz="4" w:space="0"/>
            </w:tcBorders>
            <w:vAlign w:val="center"/>
          </w:tcPr>
          <w:p>
            <w:pPr>
              <w:autoSpaceDN w:val="0"/>
              <w:spacing w:line="280" w:lineRule="exact"/>
              <w:ind w:firstLine="2880" w:firstLineChars="1200"/>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2023</w:t>
            </w:r>
            <w:r>
              <w:rPr>
                <w:rFonts w:hint="eastAsia" w:ascii="仿宋_GB2312" w:hAnsi="宋体" w:eastAsia="仿宋_GB2312" w:cs="宋体"/>
                <w:color w:val="000000"/>
                <w:kern w:val="0"/>
                <w:sz w:val="24"/>
              </w:rPr>
              <w:t xml:space="preserve">年  </w:t>
            </w:r>
            <w:r>
              <w:rPr>
                <w:rFonts w:hint="eastAsia" w:ascii="仿宋_GB2312" w:hAnsi="宋体" w:eastAsia="仿宋_GB2312" w:cs="宋体"/>
                <w:color w:val="000000"/>
                <w:kern w:val="0"/>
                <w:sz w:val="24"/>
                <w:lang w:val="en-US" w:eastAsia="zh-CN"/>
              </w:rPr>
              <w:t>4</w:t>
            </w:r>
            <w:r>
              <w:rPr>
                <w:rFonts w:hint="eastAsia" w:ascii="仿宋_GB2312" w:hAnsi="宋体" w:eastAsia="仿宋_GB2312" w:cs="宋体"/>
                <w:color w:val="000000"/>
                <w:kern w:val="0"/>
                <w:sz w:val="24"/>
              </w:rPr>
              <w:t xml:space="preserve">月  </w:t>
            </w:r>
            <w:r>
              <w:rPr>
                <w:rFonts w:hint="eastAsia" w:ascii="仿宋_GB2312" w:hAnsi="宋体" w:eastAsia="仿宋_GB2312" w:cs="宋体"/>
                <w:color w:val="000000"/>
                <w:kern w:val="0"/>
                <w:sz w:val="24"/>
                <w:lang w:val="en-US" w:eastAsia="zh-CN"/>
              </w:rPr>
              <w:t>28</w:t>
            </w:r>
            <w:r>
              <w:rPr>
                <w:rFonts w:hint="eastAsia" w:ascii="仿宋_GB2312" w:hAnsi="宋体" w:eastAsia="仿宋_GB2312" w:cs="宋体"/>
                <w:color w:val="000000"/>
                <w:kern w:val="0"/>
                <w:sz w:val="24"/>
              </w:rPr>
              <w:t>日　</w:t>
            </w:r>
          </w:p>
        </w:tc>
      </w:tr>
    </w:tbl>
    <w:p>
      <w:pPr>
        <w:pStyle w:val="8"/>
        <w:ind w:left="220" w:hanging="220" w:hangingChars="100"/>
        <w:jc w:val="left"/>
        <w:rPr>
          <w:rFonts w:ascii="仿宋_GB2312" w:eastAsia="仿宋_GB2312" w:cs="宋体"/>
          <w:color w:val="000000"/>
          <w:kern w:val="0"/>
          <w:sz w:val="22"/>
          <w:szCs w:val="22"/>
        </w:rPr>
      </w:pPr>
    </w:p>
    <w:tbl>
      <w:tblPr>
        <w:tblStyle w:val="7"/>
        <w:tblpPr w:leftFromText="180" w:rightFromText="180" w:vertAnchor="text" w:horzAnchor="page" w:tblpX="1580" w:tblpY="457"/>
        <w:tblOverlap w:val="never"/>
        <w:tblW w:w="9570" w:type="dxa"/>
        <w:tblInd w:w="0" w:type="dxa"/>
        <w:tblLayout w:type="fixed"/>
        <w:tblCellMar>
          <w:top w:w="0" w:type="dxa"/>
          <w:left w:w="108" w:type="dxa"/>
          <w:bottom w:w="0" w:type="dxa"/>
          <w:right w:w="108" w:type="dxa"/>
        </w:tblCellMar>
      </w:tblPr>
      <w:tblGrid>
        <w:gridCol w:w="2689"/>
        <w:gridCol w:w="1842"/>
        <w:gridCol w:w="1161"/>
        <w:gridCol w:w="2380"/>
        <w:gridCol w:w="1498"/>
      </w:tblGrid>
      <w:tr>
        <w:tblPrEx>
          <w:tblLayout w:type="fixed"/>
          <w:tblCellMar>
            <w:top w:w="0" w:type="dxa"/>
            <w:left w:w="108" w:type="dxa"/>
            <w:bottom w:w="0" w:type="dxa"/>
            <w:right w:w="108" w:type="dxa"/>
          </w:tblCellMar>
        </w:tblPrEx>
        <w:trPr>
          <w:trHeight w:val="720"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附录</w:t>
            </w:r>
          </w:p>
        </w:tc>
        <w:tc>
          <w:tcPr>
            <w:tcW w:w="1842"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sym w:font="Wingdings 2" w:char="0052"/>
            </w:r>
            <w:r>
              <w:rPr>
                <w:rFonts w:hint="eastAsia" w:ascii="仿宋_GB2312" w:hAnsi="宋体" w:eastAsia="仿宋_GB2312" w:cs="宋体"/>
                <w:color w:val="000000"/>
                <w:kern w:val="0"/>
                <w:sz w:val="24"/>
              </w:rPr>
              <w:t>详细技术要求</w:t>
            </w:r>
          </w:p>
        </w:tc>
        <w:tc>
          <w:tcPr>
            <w:tcW w:w="1161"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报价单</w:t>
            </w:r>
          </w:p>
        </w:tc>
        <w:tc>
          <w:tcPr>
            <w:tcW w:w="2380"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报价文件编制要求</w:t>
            </w:r>
          </w:p>
        </w:tc>
        <w:tc>
          <w:tcPr>
            <w:tcW w:w="1498"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sym w:font="Wingdings 2" w:char="0052"/>
            </w:r>
            <w:r>
              <w:rPr>
                <w:rFonts w:hint="eastAsia" w:ascii="仿宋_GB2312" w:hAnsi="宋体" w:eastAsia="仿宋_GB2312" w:cs="宋体"/>
                <w:color w:val="000000"/>
                <w:kern w:val="0"/>
                <w:sz w:val="24"/>
              </w:rPr>
              <w:t>其他</w:t>
            </w:r>
            <w:r>
              <w:rPr>
                <w:rFonts w:hint="eastAsia" w:ascii="仿宋_GB2312" w:hAnsi="宋体" w:eastAsia="仿宋_GB2312" w:cs="宋体"/>
                <w:color w:val="000000"/>
                <w:kern w:val="0"/>
                <w:sz w:val="24"/>
                <w:lang w:eastAsia="zh-CN"/>
              </w:rPr>
              <w:t>：供应商信息表</w:t>
            </w:r>
          </w:p>
        </w:tc>
      </w:tr>
    </w:tbl>
    <w:p>
      <w:pPr>
        <w:pStyle w:val="8"/>
        <w:ind w:firstLineChars="0"/>
        <w:jc w:val="left"/>
      </w:pPr>
      <w:r>
        <w:rPr>
          <w:rFonts w:hint="eastAsia" w:ascii="仿宋_GB2312" w:eastAsia="仿宋_GB2312" w:cs="宋体"/>
          <w:color w:val="000000"/>
          <w:kern w:val="0"/>
          <w:sz w:val="22"/>
          <w:szCs w:val="22"/>
        </w:rPr>
        <w:t>注：明确技术标准和要求，不限定或指定唯一品牌，在引用品牌或生产供应商名称前加上“参照”或“相当于”字样，确保品牌的市场可选择性。</w:t>
      </w:r>
    </w:p>
    <w:p>
      <w:r>
        <w:br w:type="page"/>
      </w:r>
    </w:p>
    <w:tbl>
      <w:tblPr>
        <w:tblStyle w:val="7"/>
        <w:tblpPr w:leftFromText="180" w:rightFromText="180" w:vertAnchor="text" w:horzAnchor="margin" w:tblpXSpec="center" w:tblpY="441"/>
        <w:tblW w:w="10137" w:type="dxa"/>
        <w:tblInd w:w="0" w:type="dxa"/>
        <w:tblLayout w:type="fixed"/>
        <w:tblCellMar>
          <w:top w:w="0" w:type="dxa"/>
          <w:left w:w="108" w:type="dxa"/>
          <w:bottom w:w="0" w:type="dxa"/>
          <w:right w:w="108" w:type="dxa"/>
        </w:tblCellMar>
      </w:tblPr>
      <w:tblGrid>
        <w:gridCol w:w="1581"/>
        <w:gridCol w:w="4114"/>
        <w:gridCol w:w="2623"/>
        <w:gridCol w:w="126"/>
        <w:gridCol w:w="1693"/>
      </w:tblGrid>
      <w:tr>
        <w:tblPrEx>
          <w:tblLayout w:type="fixed"/>
          <w:tblCellMar>
            <w:top w:w="0" w:type="dxa"/>
            <w:left w:w="108" w:type="dxa"/>
            <w:bottom w:w="0" w:type="dxa"/>
            <w:right w:w="108" w:type="dxa"/>
          </w:tblCellMar>
        </w:tblPrEx>
        <w:trPr>
          <w:trHeight w:val="510" w:hRule="atLeast"/>
        </w:trPr>
        <w:tc>
          <w:tcPr>
            <w:tcW w:w="10137" w:type="dxa"/>
            <w:gridSpan w:val="5"/>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以下由报价供应商填写（盖章）</w:t>
            </w:r>
          </w:p>
        </w:tc>
      </w:tr>
      <w:tr>
        <w:tblPrEx>
          <w:tblLayout w:type="fixed"/>
          <w:tblCellMar>
            <w:top w:w="0" w:type="dxa"/>
            <w:left w:w="108" w:type="dxa"/>
            <w:bottom w:w="0" w:type="dxa"/>
            <w:right w:w="108" w:type="dxa"/>
          </w:tblCellMar>
        </w:tblPrEx>
        <w:trPr>
          <w:trHeight w:val="690"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供应商性质</w:t>
            </w:r>
          </w:p>
        </w:tc>
        <w:tc>
          <w:tcPr>
            <w:tcW w:w="8556" w:type="dxa"/>
            <w:gridSpan w:val="4"/>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□高校/科研院所 □国有及国有控股企业 □外资企业 □民营企业 □境外单位或个人</w:t>
            </w:r>
          </w:p>
        </w:tc>
      </w:tr>
      <w:tr>
        <w:tblPrEx>
          <w:tblLayout w:type="fixed"/>
          <w:tblCellMar>
            <w:top w:w="0" w:type="dxa"/>
            <w:left w:w="108" w:type="dxa"/>
            <w:bottom w:w="0" w:type="dxa"/>
            <w:right w:w="108" w:type="dxa"/>
          </w:tblCellMar>
        </w:tblPrEx>
        <w:trPr>
          <w:trHeight w:val="555"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联系人</w:t>
            </w:r>
          </w:p>
        </w:tc>
        <w:tc>
          <w:tcPr>
            <w:tcW w:w="411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62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联系地址</w:t>
            </w:r>
          </w:p>
        </w:tc>
        <w:tc>
          <w:tcPr>
            <w:tcW w:w="1819"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00"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联系电话</w:t>
            </w:r>
          </w:p>
        </w:tc>
        <w:tc>
          <w:tcPr>
            <w:tcW w:w="411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62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E-Mail</w:t>
            </w:r>
          </w:p>
        </w:tc>
        <w:tc>
          <w:tcPr>
            <w:tcW w:w="1819"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04" w:hRule="atLeast"/>
        </w:trPr>
        <w:tc>
          <w:tcPr>
            <w:tcW w:w="1581" w:type="dxa"/>
            <w:vMerge w:val="restart"/>
            <w:tcBorders>
              <w:top w:val="nil"/>
              <w:left w:val="single" w:color="auto" w:sz="4" w:space="0"/>
              <w:bottom w:val="single" w:color="000000" w:sz="4" w:space="0"/>
              <w:right w:val="single" w:color="auto" w:sz="4" w:space="0"/>
            </w:tcBorders>
            <w:vAlign w:val="center"/>
          </w:tcPr>
          <w:p>
            <w:pPr>
              <w:widowControl/>
              <w:ind w:firstLine="220" w:firstLineChars="10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资质文件</w:t>
            </w:r>
          </w:p>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（复印件应加盖单位公章，带*号的为必备材料）</w:t>
            </w: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（一）基本证照</w:t>
            </w:r>
          </w:p>
        </w:tc>
      </w:tr>
      <w:tr>
        <w:tblPrEx>
          <w:tblLayout w:type="fixed"/>
          <w:tblCellMar>
            <w:top w:w="0" w:type="dxa"/>
            <w:left w:w="108" w:type="dxa"/>
            <w:bottom w:w="0" w:type="dxa"/>
            <w:right w:w="108" w:type="dxa"/>
          </w:tblCellMar>
        </w:tblPrEx>
        <w:trPr>
          <w:trHeight w:val="1380"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□营业执照*</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□组织机构代码证*</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□税务登记证*</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或□“三证合一”证书</w:t>
            </w:r>
          </w:p>
        </w:tc>
        <w:tc>
          <w:tcPr>
            <w:tcW w:w="2623"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□法人代表授权书*</w:t>
            </w:r>
          </w:p>
        </w:tc>
        <w:tc>
          <w:tcPr>
            <w:tcW w:w="1819" w:type="dxa"/>
            <w:gridSpan w:val="2"/>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r>
              <w:rPr>
                <w:rFonts w:hint="eastAsia" w:ascii="仿宋_GB2312" w:hAnsi="宋体" w:eastAsia="仿宋_GB2312" w:cs="宋体"/>
                <w:color w:val="000000"/>
                <w:kern w:val="0"/>
                <w:sz w:val="22"/>
                <w:szCs w:val="22"/>
                <w:lang w:val="en-US" w:eastAsia="zh-CN"/>
              </w:rPr>
              <w:t>设备厂商针对本项目的项目授权书</w:t>
            </w:r>
            <w:r>
              <w:rPr>
                <w:rFonts w:hint="eastAsia" w:ascii="仿宋_GB2312" w:hAnsi="宋体" w:eastAsia="仿宋_GB2312" w:cs="宋体"/>
                <w:color w:val="000000"/>
                <w:kern w:val="0"/>
                <w:sz w:val="22"/>
                <w:szCs w:val="22"/>
              </w:rPr>
              <w:t>*</w:t>
            </w:r>
          </w:p>
        </w:tc>
      </w:tr>
      <w:tr>
        <w:tblPrEx>
          <w:tblLayout w:type="fixed"/>
          <w:tblCellMar>
            <w:top w:w="0" w:type="dxa"/>
            <w:left w:w="108" w:type="dxa"/>
            <w:bottom w:w="0" w:type="dxa"/>
            <w:right w:w="108" w:type="dxa"/>
          </w:tblCellMar>
        </w:tblPrEx>
        <w:trPr>
          <w:trHeight w:val="577"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r>
              <w:rPr>
                <w:rFonts w:hint="eastAsia" w:ascii="仿宋_GB2312" w:hAnsi="宋体" w:eastAsia="仿宋_GB2312" w:cs="宋体"/>
                <w:color w:val="000000"/>
                <w:kern w:val="0"/>
                <w:sz w:val="22"/>
                <w:szCs w:val="22"/>
                <w:lang w:val="en-US" w:eastAsia="zh-CN"/>
              </w:rPr>
              <w:t>二</w:t>
            </w:r>
            <w:r>
              <w:rPr>
                <w:rFonts w:hint="eastAsia" w:ascii="仿宋_GB2312" w:hAnsi="宋体" w:eastAsia="仿宋_GB2312" w:cs="宋体"/>
                <w:color w:val="000000"/>
                <w:kern w:val="0"/>
                <w:sz w:val="22"/>
                <w:szCs w:val="22"/>
              </w:rPr>
              <w:t>）财务资料</w:t>
            </w:r>
          </w:p>
        </w:tc>
      </w:tr>
      <w:tr>
        <w:tblPrEx>
          <w:tblLayout w:type="fixed"/>
          <w:tblCellMar>
            <w:top w:w="0" w:type="dxa"/>
            <w:left w:w="108" w:type="dxa"/>
            <w:bottom w:w="0" w:type="dxa"/>
            <w:right w:w="108" w:type="dxa"/>
          </w:tblCellMar>
        </w:tblPrEx>
        <w:trPr>
          <w:trHeight w:val="67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□银行基本账户开户许可证*</w:t>
            </w:r>
          </w:p>
        </w:tc>
        <w:tc>
          <w:tcPr>
            <w:tcW w:w="2749" w:type="dxa"/>
            <w:gridSpan w:val="2"/>
            <w:tcBorders>
              <w:top w:val="nil"/>
              <w:left w:val="nil"/>
              <w:bottom w:val="single" w:color="auto" w:sz="4" w:space="0"/>
              <w:right w:val="single" w:color="auto" w:sz="4" w:space="0"/>
            </w:tcBorders>
            <w:vAlign w:val="center"/>
          </w:tcPr>
          <w:p>
            <w:pPr>
              <w:widowControl/>
              <w:jc w:val="left"/>
              <w:rPr>
                <w:rFonts w:hint="eastAsia"/>
                <w:lang w:val="en-US" w:eastAsia="zh-CN"/>
              </w:rPr>
            </w:pPr>
            <w:r>
              <w:rPr>
                <w:rFonts w:hint="eastAsia"/>
              </w:rPr>
              <w:t>□经审计的近三年的年度财务报表</w:t>
            </w:r>
            <w:r>
              <w:rPr>
                <w:rFonts w:hint="eastAsia"/>
                <w:lang w:val="en-US" w:eastAsia="zh-CN"/>
              </w:rPr>
              <w:t>或</w:t>
            </w:r>
          </w:p>
          <w:p>
            <w:pPr>
              <w:widowControl/>
              <w:jc w:val="left"/>
              <w:rPr>
                <w:rFonts w:hint="default"/>
                <w:lang w:val="en-US" w:eastAsia="zh-CN"/>
              </w:rPr>
            </w:pPr>
            <w:r>
              <w:rPr>
                <w:rFonts w:hint="eastAsia"/>
                <w:lang w:val="en-US" w:eastAsia="zh-CN"/>
              </w:rPr>
              <w:t>公司盖章版财务报表*</w:t>
            </w:r>
          </w:p>
        </w:tc>
        <w:tc>
          <w:tcPr>
            <w:tcW w:w="169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1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□资信证明*（银行开具或查询网页截图）</w:t>
            </w:r>
          </w:p>
        </w:tc>
        <w:tc>
          <w:tcPr>
            <w:tcW w:w="274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□其他财务指标证明材料</w:t>
            </w:r>
          </w:p>
        </w:tc>
        <w:tc>
          <w:tcPr>
            <w:tcW w:w="169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33"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（三）经营范围资料（包括但不限于依法须经批准的项目，相关部门的批准文件）</w:t>
            </w:r>
          </w:p>
        </w:tc>
      </w:tr>
      <w:tr>
        <w:tblPrEx>
          <w:tblLayout w:type="fixed"/>
          <w:tblCellMar>
            <w:top w:w="0" w:type="dxa"/>
            <w:left w:w="108" w:type="dxa"/>
            <w:bottom w:w="0" w:type="dxa"/>
            <w:right w:w="108" w:type="dxa"/>
          </w:tblCellMar>
        </w:tblPrEx>
        <w:trPr>
          <w:trHeight w:val="473"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□批准文件</w:t>
            </w:r>
          </w:p>
        </w:tc>
        <w:tc>
          <w:tcPr>
            <w:tcW w:w="262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81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2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（四）能力证明资料</w:t>
            </w:r>
          </w:p>
        </w:tc>
      </w:tr>
      <w:tr>
        <w:tblPrEx>
          <w:tblLayout w:type="fixed"/>
          <w:tblCellMar>
            <w:top w:w="0" w:type="dxa"/>
            <w:left w:w="108" w:type="dxa"/>
            <w:bottom w:w="0" w:type="dxa"/>
            <w:right w:w="108" w:type="dxa"/>
          </w:tblCellMar>
        </w:tblPrEx>
        <w:trPr>
          <w:trHeight w:val="577"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□相关领域的资质文件</w:t>
            </w:r>
          </w:p>
        </w:tc>
        <w:tc>
          <w:tcPr>
            <w:tcW w:w="262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□行业资质证书</w:t>
            </w:r>
          </w:p>
        </w:tc>
        <w:tc>
          <w:tcPr>
            <w:tcW w:w="181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□质量体系认证</w:t>
            </w:r>
          </w:p>
        </w:tc>
      </w:tr>
      <w:tr>
        <w:tblPrEx>
          <w:tblLayout w:type="fixed"/>
          <w:tblCellMar>
            <w:top w:w="0" w:type="dxa"/>
            <w:left w:w="108" w:type="dxa"/>
            <w:bottom w:w="0" w:type="dxa"/>
            <w:right w:w="108" w:type="dxa"/>
          </w:tblCellMar>
        </w:tblPrEx>
        <w:trPr>
          <w:trHeight w:val="64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□拟派出项目组成员的资质文件</w:t>
            </w:r>
          </w:p>
        </w:tc>
        <w:tc>
          <w:tcPr>
            <w:tcW w:w="2623"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□以往类似项目的合同</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或验收报告</w:t>
            </w:r>
          </w:p>
        </w:tc>
        <w:tc>
          <w:tcPr>
            <w:tcW w:w="1819"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rPr>
              <w:t>□成功案例</w:t>
            </w:r>
            <w:r>
              <w:rPr>
                <w:rFonts w:hint="eastAsia" w:ascii="仿宋_GB2312" w:hAnsi="宋体" w:eastAsia="仿宋_GB2312" w:cs="宋体"/>
                <w:color w:val="000000"/>
                <w:kern w:val="0"/>
                <w:sz w:val="22"/>
                <w:szCs w:val="22"/>
                <w:lang w:val="en-US" w:eastAsia="zh-CN"/>
              </w:rPr>
              <w:t>*</w:t>
            </w:r>
          </w:p>
        </w:tc>
      </w:tr>
      <w:tr>
        <w:tblPrEx>
          <w:tblLayout w:type="fixed"/>
          <w:tblCellMar>
            <w:top w:w="0" w:type="dxa"/>
            <w:left w:w="108" w:type="dxa"/>
            <w:bottom w:w="0" w:type="dxa"/>
            <w:right w:w="108" w:type="dxa"/>
          </w:tblCellMar>
        </w:tblPrEx>
        <w:trPr>
          <w:trHeight w:val="1974" w:hRule="atLeast"/>
        </w:trPr>
        <w:tc>
          <w:tcPr>
            <w:tcW w:w="1581"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资质情况说明</w:t>
            </w: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bl>
    <w:p>
      <w:pPr>
        <w:pStyle w:val="8"/>
        <w:ind w:firstLineChars="0"/>
        <w:jc w:val="left"/>
        <w:rPr>
          <w:sz w:val="21"/>
          <w:szCs w:val="21"/>
        </w:rPr>
      </w:pPr>
      <w:r>
        <w:rPr>
          <w:rFonts w:hint="eastAsia"/>
          <w:sz w:val="21"/>
          <w:szCs w:val="21"/>
        </w:rPr>
        <w:t>注：*号项目，由采购需求部门按需调整。</w:t>
      </w:r>
    </w:p>
    <w:p>
      <w:pPr>
        <w:pStyle w:val="8"/>
        <w:ind w:firstLineChars="0"/>
        <w:jc w:val="left"/>
      </w:pPr>
    </w:p>
    <w:p>
      <w:pPr>
        <w:pStyle w:val="8"/>
        <w:ind w:firstLineChars="0"/>
        <w:jc w:val="left"/>
      </w:pPr>
    </w:p>
    <w:p>
      <w:pPr>
        <w:pStyle w:val="8"/>
        <w:ind w:firstLineChars="0"/>
        <w:jc w:val="left"/>
      </w:pPr>
    </w:p>
    <w:tbl>
      <w:tblPr>
        <w:tblStyle w:val="7"/>
        <w:tblW w:w="9513" w:type="dxa"/>
        <w:tblInd w:w="93" w:type="dxa"/>
        <w:tblLayout w:type="fixed"/>
        <w:tblCellMar>
          <w:top w:w="0" w:type="dxa"/>
          <w:left w:w="108" w:type="dxa"/>
          <w:bottom w:w="0" w:type="dxa"/>
          <w:right w:w="108" w:type="dxa"/>
        </w:tblCellMar>
      </w:tblPr>
      <w:tblGrid>
        <w:gridCol w:w="1680"/>
        <w:gridCol w:w="2508"/>
        <w:gridCol w:w="2662"/>
        <w:gridCol w:w="2663"/>
      </w:tblGrid>
      <w:tr>
        <w:tblPrEx>
          <w:tblLayout w:type="fixed"/>
          <w:tblCellMar>
            <w:top w:w="0" w:type="dxa"/>
            <w:left w:w="108" w:type="dxa"/>
            <w:bottom w:w="0" w:type="dxa"/>
            <w:right w:w="108" w:type="dxa"/>
          </w:tblCellMar>
        </w:tblPrEx>
        <w:trPr>
          <w:trHeight w:val="2748" w:hRule="atLeast"/>
        </w:trPr>
        <w:tc>
          <w:tcPr>
            <w:tcW w:w="168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质量能力说明</w:t>
            </w:r>
          </w:p>
        </w:tc>
        <w:tc>
          <w:tcPr>
            <w:tcW w:w="7833" w:type="dxa"/>
            <w:gridSpan w:val="3"/>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650" w:hRule="atLeast"/>
        </w:trPr>
        <w:tc>
          <w:tcPr>
            <w:tcW w:w="168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技术方案说明</w:t>
            </w:r>
          </w:p>
        </w:tc>
        <w:tc>
          <w:tcPr>
            <w:tcW w:w="7833" w:type="dxa"/>
            <w:gridSpan w:val="3"/>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707" w:hRule="atLeast"/>
        </w:trPr>
        <w:tc>
          <w:tcPr>
            <w:tcW w:w="168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交付时间（天）</w:t>
            </w:r>
          </w:p>
        </w:tc>
        <w:tc>
          <w:tcPr>
            <w:tcW w:w="7833"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690" w:hRule="atLeast"/>
        </w:trPr>
        <w:tc>
          <w:tcPr>
            <w:tcW w:w="16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报价</w:t>
            </w:r>
          </w:p>
        </w:tc>
        <w:tc>
          <w:tcPr>
            <w:tcW w:w="7833" w:type="dxa"/>
            <w:gridSpan w:val="3"/>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人民币                                       （大写）</w:t>
            </w:r>
          </w:p>
        </w:tc>
      </w:tr>
      <w:tr>
        <w:tblPrEx>
          <w:tblLayout w:type="fixed"/>
          <w:tblCellMar>
            <w:top w:w="0" w:type="dxa"/>
            <w:left w:w="108" w:type="dxa"/>
            <w:bottom w:w="0" w:type="dxa"/>
            <w:right w:w="108" w:type="dxa"/>
          </w:tblCellMar>
        </w:tblPrEx>
        <w:trPr>
          <w:trHeight w:val="945" w:hRule="atLeast"/>
        </w:trPr>
        <w:tc>
          <w:tcPr>
            <w:tcW w:w="16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附录</w:t>
            </w:r>
          </w:p>
        </w:tc>
        <w:tc>
          <w:tcPr>
            <w:tcW w:w="2508"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□项目技术方案</w:t>
            </w:r>
          </w:p>
        </w:tc>
        <w:tc>
          <w:tcPr>
            <w:tcW w:w="266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□报价单</w:t>
            </w:r>
          </w:p>
        </w:tc>
        <w:tc>
          <w:tcPr>
            <w:tcW w:w="266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□其他说明资料</w:t>
            </w:r>
          </w:p>
        </w:tc>
      </w:tr>
      <w:tr>
        <w:tblPrEx>
          <w:tblLayout w:type="fixed"/>
          <w:tblCellMar>
            <w:top w:w="0" w:type="dxa"/>
            <w:left w:w="108" w:type="dxa"/>
            <w:bottom w:w="0" w:type="dxa"/>
            <w:right w:w="108" w:type="dxa"/>
          </w:tblCellMar>
        </w:tblPrEx>
        <w:trPr>
          <w:trHeight w:val="650" w:hRule="atLeast"/>
        </w:trPr>
        <w:tc>
          <w:tcPr>
            <w:tcW w:w="9513" w:type="dxa"/>
            <w:gridSpan w:val="4"/>
            <w:tcBorders>
              <w:top w:val="single" w:color="auto" w:sz="4" w:space="0"/>
              <w:left w:val="single" w:color="auto" w:sz="4" w:space="0"/>
              <w:bottom w:val="single" w:color="auto" w:sz="4" w:space="0"/>
              <w:right w:val="single" w:color="000000" w:sz="4" w:space="0"/>
            </w:tcBorders>
            <w:vAlign w:val="center"/>
          </w:tcPr>
          <w:p>
            <w:pPr>
              <w:rPr>
                <w:rFonts w:ascii="宋体" w:hAnsi="宋体" w:cs="宋体"/>
                <w:color w:val="000000"/>
                <w:kern w:val="0"/>
                <w:sz w:val="24"/>
              </w:rPr>
            </w:pPr>
            <w:r>
              <w:rPr>
                <w:rFonts w:hint="eastAsia" w:ascii="仿宋_GB2312" w:hAnsi="宋体" w:eastAsia="仿宋_GB2312" w:cs="宋体"/>
                <w:color w:val="000000"/>
                <w:kern w:val="0"/>
                <w:sz w:val="22"/>
                <w:szCs w:val="22"/>
              </w:rPr>
              <w:t>注：报价文件盖章后密封送达采购联系人，内含盖章版电子扫描件（U盘或光盘）</w:t>
            </w:r>
            <w:r>
              <w:rPr>
                <w:rFonts w:hint="eastAsia" w:ascii="Tahoma" w:hAnsi="Tahoma" w:cs="Tahoma"/>
                <w:color w:val="000000"/>
                <w:kern w:val="0"/>
                <w:sz w:val="20"/>
                <w:szCs w:val="20"/>
              </w:rPr>
              <w:t>。</w:t>
            </w:r>
          </w:p>
        </w:tc>
      </w:tr>
    </w:tbl>
    <w:p>
      <w:pPr>
        <w:pStyle w:val="8"/>
        <w:ind w:firstLineChars="0"/>
        <w:jc w:val="left"/>
      </w:pPr>
    </w:p>
    <w:p/>
    <w:p>
      <w:pPr>
        <w:pStyle w:val="2"/>
      </w:pPr>
    </w:p>
    <w:p/>
    <w:p>
      <w:pPr>
        <w:pStyle w:val="2"/>
      </w:pPr>
    </w:p>
    <w:p/>
    <w:p>
      <w:pPr>
        <w:rPr>
          <w:sz w:val="22"/>
          <w:szCs w:val="28"/>
        </w:rPr>
      </w:pPr>
      <w:r>
        <w:rPr>
          <w:rFonts w:hint="eastAsia"/>
          <w:sz w:val="22"/>
          <w:szCs w:val="28"/>
        </w:rPr>
        <w:t>附件一：详细技术要求</w:t>
      </w:r>
    </w:p>
    <w:tbl>
      <w:tblPr>
        <w:tblStyle w:val="7"/>
        <w:tblpPr w:leftFromText="180" w:rightFromText="180" w:vertAnchor="text" w:horzAnchor="page" w:tblpX="1182" w:tblpY="829"/>
        <w:tblOverlap w:val="never"/>
        <w:tblW w:w="9312" w:type="dxa"/>
        <w:tblInd w:w="0" w:type="dxa"/>
        <w:shd w:val="clear" w:color="auto" w:fill="auto"/>
        <w:tblLayout w:type="fixed"/>
        <w:tblCellMar>
          <w:top w:w="0" w:type="dxa"/>
          <w:left w:w="0" w:type="dxa"/>
          <w:bottom w:w="0" w:type="dxa"/>
          <w:right w:w="0" w:type="dxa"/>
        </w:tblCellMar>
      </w:tblPr>
      <w:tblGrid>
        <w:gridCol w:w="346"/>
        <w:gridCol w:w="841"/>
        <w:gridCol w:w="5175"/>
        <w:gridCol w:w="825"/>
        <w:gridCol w:w="788"/>
        <w:gridCol w:w="1337"/>
      </w:tblGrid>
      <w:tr>
        <w:tblPrEx>
          <w:shd w:val="clear" w:color="auto" w:fill="auto"/>
          <w:tblLayout w:type="fixed"/>
          <w:tblCellMar>
            <w:top w:w="0" w:type="dxa"/>
            <w:left w:w="0" w:type="dxa"/>
            <w:bottom w:w="0" w:type="dxa"/>
            <w:right w:w="0" w:type="dxa"/>
          </w:tblCellMar>
        </w:tblPrEx>
        <w:trPr>
          <w:trHeight w:val="225" w:hRule="atLeast"/>
        </w:trPr>
        <w:tc>
          <w:tcPr>
            <w:tcW w:w="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8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设备名称</w:t>
            </w:r>
          </w:p>
        </w:tc>
        <w:tc>
          <w:tcPr>
            <w:tcW w:w="5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技术参数</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数量</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w:t>
            </w: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兼容性</w:t>
            </w:r>
          </w:p>
        </w:tc>
      </w:tr>
      <w:tr>
        <w:tblPrEx>
          <w:shd w:val="clear" w:color="auto" w:fill="auto"/>
          <w:tblLayout w:type="fixed"/>
          <w:tblCellMar>
            <w:top w:w="0" w:type="dxa"/>
            <w:left w:w="0" w:type="dxa"/>
            <w:bottom w:w="0" w:type="dxa"/>
            <w:right w:w="0" w:type="dxa"/>
          </w:tblCellMar>
        </w:tblPrEx>
        <w:trPr>
          <w:trHeight w:val="4880" w:hRule="atLeast"/>
        </w:trPr>
        <w:tc>
          <w:tcPr>
            <w:tcW w:w="3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吸顶AP</w:t>
            </w:r>
          </w:p>
        </w:tc>
        <w:tc>
          <w:tcPr>
            <w:tcW w:w="5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802.11ax 协议，兼容802.11a/b/g/n/ac协议，支持2.4G和5G同时工作，为保障无线网络体验，要求2.4G和5G射频最高支持802.11ax协议；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整机采用三射频设计，2.4G最大传输速率≥570Mbps，5G最大传输速率≥2000Mbps，整机最大传输速率≥2.6Gbps；</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千兆以太网口≥1个，并需提供1个RJ-45 Console管理口；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USB接口≥1个，可拓展物联网模块使用，可外接U盘；</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AP发射功率≤20dBm（最大不超过100mw），且功率可调节（调节粒度为1dBm，调节范围为1dBm~20dBm）；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工作温度：-10~50℃；工作湿度（非凝结）：5%~95%；</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单射频接入人数最高支持≥128，整机最大接入人数≥240；</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支持基于SSID的接入用户数限制；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支持虚拟AP技术，单射频SSID数量最高支持≥16，整机≥32；</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支持SSID隐藏；支持英文SSID、中文SSID或中英文混合SSID；</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支持SSID与1QVLAN一对一或一对多的映射；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支持Fat和Fit 两种工作模式，根据网络规划的需要，可以灵活地在Fat和Fit两种工作模式中切换，同时可以根据应用需求，选择工作模式；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支持逃生模式，AP与控制器连接中断后，原有用户在线、新用户正常接入，业务不中断；</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103</w:t>
            </w: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AP需完全兼容已有信锐品牌无线控制NAC-6100</w:t>
            </w:r>
          </w:p>
        </w:tc>
      </w:tr>
      <w:tr>
        <w:tblPrEx>
          <w:shd w:val="clear" w:color="auto" w:fill="auto"/>
          <w:tblLayout w:type="fixed"/>
          <w:tblCellMar>
            <w:top w:w="0" w:type="dxa"/>
            <w:left w:w="0" w:type="dxa"/>
            <w:bottom w:w="0" w:type="dxa"/>
            <w:right w:w="0" w:type="dxa"/>
          </w:tblCellMar>
        </w:tblPrEx>
        <w:trPr>
          <w:trHeight w:val="4320" w:hRule="atLeast"/>
        </w:trPr>
        <w:tc>
          <w:tcPr>
            <w:tcW w:w="3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高密AP</w:t>
            </w:r>
          </w:p>
        </w:tc>
        <w:tc>
          <w:tcPr>
            <w:tcW w:w="5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802.11ax 协议，兼容802.11a/b/g/n/ac协议，支持2.4G和5G同时工作；</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支持2.4G频段 2*2条流及 5G(1) 2*2条流,5G(2) 4*4条流；2.4G最大传输速率≥0.5Gbps，5G最大传输速率≥6Gbps，整机最大传输速率≥6.5Gbps</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千兆以太网口≥1个，2.5G上行电口1个；并需提供1个RJ-45 Console管理口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USB接口≥1个,可拓展物联网模块使用，可外接U盘</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AP发射功率≤20dBm（最大不超过100mw），且功率可调节（调节粒度为1dBm，调节范围为1dBm~20dBm）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工作温度：-10~50℃；工作湿度（非凝结）：5%~95%</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单射频接入人数≥512，整机最大接入人数≥1500；</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支持基于SSID的接入用户数限制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支持虚拟AP技术，单射频SSID数量≥16，整机≥40；</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支持SSID隐藏；支持英文SSID、中文SSID或中英文混合SSID</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支持SSID与1QVLAN一对一或一对多的映射；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支持Fat和Fit 两种工作模式，根据网络规划的需要，可以灵活地在Fat和Fit两种工作模式中切换，同时可以根据应用需求，选择工作模式。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支持逃生模式，AP与控制器连接中断后，原有用户在线、新用户正常接入，业务不中断；</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AP需完全兼容已有信锐品牌无线控制NAC-6100</w:t>
            </w:r>
          </w:p>
        </w:tc>
      </w:tr>
      <w:tr>
        <w:tblPrEx>
          <w:shd w:val="clear" w:color="auto" w:fill="auto"/>
          <w:tblLayout w:type="fixed"/>
          <w:tblCellMar>
            <w:top w:w="0" w:type="dxa"/>
            <w:left w:w="0" w:type="dxa"/>
            <w:bottom w:w="0" w:type="dxa"/>
            <w:right w:w="0" w:type="dxa"/>
          </w:tblCellMar>
        </w:tblPrEx>
        <w:trPr>
          <w:trHeight w:val="2440" w:hRule="atLeast"/>
        </w:trPr>
        <w:tc>
          <w:tcPr>
            <w:tcW w:w="3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24口POE交换机</w:t>
            </w:r>
          </w:p>
        </w:tc>
        <w:tc>
          <w:tcPr>
            <w:tcW w:w="5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交换容量≥336Gbps/3.36Tbps；</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包转发率≥108Mpps/126Mpps；以上需提供官网截图证明；</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千兆POE电口≥24个， 千兆 SFP光口≥4个；Console口≥1个</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支持IEEE 802.3af/at供电标准，整机最大输出功率≥370W</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支持通过网管中心平台查看交换机端口负载情况；</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支持通过在网管中心平台的Web页面对交换机进行可视化管理查看，包括交换机的端口状态及配置、vlan信息；</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支持通过网管中心平台图形化操作对交换机端口状态的开启与关闭；</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支持通过网管中心平台查看交换机面板端口工作状态，通过端口颜色显示状态即可判断端口是否在线工作；</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为保证设备兼容性，交换机需和无线为同一品牌</w:t>
            </w:r>
          </w:p>
        </w:tc>
      </w:tr>
      <w:tr>
        <w:tblPrEx>
          <w:shd w:val="clear" w:color="auto" w:fill="auto"/>
          <w:tblLayout w:type="fixed"/>
          <w:tblCellMar>
            <w:top w:w="0" w:type="dxa"/>
            <w:left w:w="0" w:type="dxa"/>
            <w:bottom w:w="0" w:type="dxa"/>
            <w:right w:w="0" w:type="dxa"/>
          </w:tblCellMar>
        </w:tblPrEx>
        <w:trPr>
          <w:trHeight w:val="2025" w:hRule="atLeast"/>
        </w:trPr>
        <w:tc>
          <w:tcPr>
            <w:tcW w:w="3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8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8口POE交换机</w:t>
            </w:r>
          </w:p>
        </w:tc>
        <w:tc>
          <w:tcPr>
            <w:tcW w:w="5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交换容量≥336Gbps/3.36Tbps；</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千兆POE电口≥8个， 千兆 SFP光口≥4个；Console口≥1个</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支持通过网管中心平台查看交换机端口负载情况；</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支持通过在网管中心平台的Web页面对交换机进行可视化管理查看，包括交换机的端口状态及配置、vlan信息；</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支持通过网管中心平台图形化操作对交换机端口状态的开启与关闭；</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支持通过网管中心平台查看交换机面板端口工作状态，通过端口颜色显示状态即可判断端口是否在线工作；</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为保证设备兼容性，交换机需和无线设备为同一品牌</w:t>
            </w:r>
          </w:p>
        </w:tc>
      </w:tr>
      <w:tr>
        <w:tblPrEx>
          <w:shd w:val="clear" w:color="auto" w:fill="auto"/>
          <w:tblLayout w:type="fixed"/>
          <w:tblCellMar>
            <w:top w:w="0" w:type="dxa"/>
            <w:left w:w="0" w:type="dxa"/>
            <w:bottom w:w="0" w:type="dxa"/>
            <w:right w:w="0" w:type="dxa"/>
          </w:tblCellMar>
        </w:tblPrEx>
        <w:trPr>
          <w:trHeight w:val="675" w:hRule="atLeast"/>
        </w:trPr>
        <w:tc>
          <w:tcPr>
            <w:tcW w:w="3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8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无线控制器</w:t>
            </w:r>
          </w:p>
        </w:tc>
        <w:tc>
          <w:tcPr>
            <w:tcW w:w="5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下一代千兆网络控制器，3个千兆网口，最大支持集中转发72个AP，本地转发600个AP</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和已有信锐品牌无线控制NAC-6100组双机</w:t>
            </w:r>
          </w:p>
        </w:tc>
      </w:tr>
      <w:tr>
        <w:tblPrEx>
          <w:shd w:val="clear" w:color="auto" w:fill="auto"/>
          <w:tblLayout w:type="fixed"/>
          <w:tblCellMar>
            <w:top w:w="0" w:type="dxa"/>
            <w:left w:w="0" w:type="dxa"/>
            <w:bottom w:w="0" w:type="dxa"/>
            <w:right w:w="0" w:type="dxa"/>
          </w:tblCellMar>
        </w:tblPrEx>
        <w:trPr>
          <w:trHeight w:val="450" w:hRule="atLeast"/>
        </w:trPr>
        <w:tc>
          <w:tcPr>
            <w:tcW w:w="3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8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AC控制器授权</w:t>
            </w:r>
          </w:p>
        </w:tc>
        <w:tc>
          <w:tcPr>
            <w:tcW w:w="51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新增AP所需AP授权许可</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已有信锐品牌无线控制NAC-6100</w:t>
            </w:r>
          </w:p>
        </w:tc>
      </w:tr>
      <w:tr>
        <w:tblPrEx>
          <w:tblLayout w:type="fixed"/>
          <w:tblCellMar>
            <w:top w:w="0" w:type="dxa"/>
            <w:left w:w="0" w:type="dxa"/>
            <w:bottom w:w="0" w:type="dxa"/>
            <w:right w:w="0" w:type="dxa"/>
          </w:tblCellMar>
        </w:tblPrEx>
        <w:trPr>
          <w:trHeight w:val="270" w:hRule="atLeast"/>
        </w:trPr>
        <w:tc>
          <w:tcPr>
            <w:tcW w:w="9312"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注：投标产品质保期为一年，质保时间为设备最终验收合格后一年；本项目含设备安装调试工作。</w:t>
            </w:r>
          </w:p>
        </w:tc>
      </w:tr>
    </w:tbl>
    <w:p>
      <w:pPr>
        <w:pStyle w:val="2"/>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Wingdings 2">
    <w:altName w:val="Wingdings"/>
    <w:panose1 w:val="05020102010507070707"/>
    <w:charset w:val="00"/>
    <w:family w:val="auto"/>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sz w:val="20"/>
        <w:szCs w:val="20"/>
      </w:rPr>
    </w:pPr>
    <w:r>
      <w:rPr>
        <w:rFonts w:hint="eastAsia"/>
        <w:sz w:val="20"/>
        <w:szCs w:val="20"/>
      </w:rPr>
      <w:t>SACSC-RFQ-S-2023011</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F646F0"/>
    <w:multiLevelType w:val="singleLevel"/>
    <w:tmpl w:val="ACF646F0"/>
    <w:lvl w:ilvl="0" w:tentative="0">
      <w:start w:val="1"/>
      <w:numFmt w:val="decimal"/>
      <w:suff w:val="nothing"/>
      <w:lvlText w:val="%1、"/>
      <w:lvlJc w:val="left"/>
    </w:lvl>
  </w:abstractNum>
  <w:abstractNum w:abstractNumId="1">
    <w:nsid w:val="D16C081B"/>
    <w:multiLevelType w:val="singleLevel"/>
    <w:tmpl w:val="D16C081B"/>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56626F1"/>
    <w:rsid w:val="001A6909"/>
    <w:rsid w:val="001B3A28"/>
    <w:rsid w:val="00372E50"/>
    <w:rsid w:val="00683528"/>
    <w:rsid w:val="00727F5E"/>
    <w:rsid w:val="00944C70"/>
    <w:rsid w:val="00990706"/>
    <w:rsid w:val="00BF2CF4"/>
    <w:rsid w:val="07C81A5C"/>
    <w:rsid w:val="0F35278C"/>
    <w:rsid w:val="13F02EC1"/>
    <w:rsid w:val="199024AF"/>
    <w:rsid w:val="2080464E"/>
    <w:rsid w:val="293222D9"/>
    <w:rsid w:val="2E016506"/>
    <w:rsid w:val="32BE356B"/>
    <w:rsid w:val="356626F1"/>
    <w:rsid w:val="3DC124BA"/>
    <w:rsid w:val="42EF1120"/>
    <w:rsid w:val="43BE4221"/>
    <w:rsid w:val="47FA2AC2"/>
    <w:rsid w:val="755B4B1A"/>
    <w:rsid w:val="76A70776"/>
    <w:rsid w:val="7E264C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1"/>
    <w:unhideWhenUsed/>
    <w:qFormat/>
    <w:uiPriority w:val="0"/>
    <w:pPr>
      <w:spacing w:after="120"/>
    </w:pPr>
  </w:style>
  <w:style w:type="paragraph" w:styleId="3">
    <w:name w:val="annotation text"/>
    <w:basedOn w:val="1"/>
    <w:qFormat/>
    <w:uiPriority w:val="0"/>
    <w:pPr>
      <w:jc w:val="left"/>
    </w:p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标准文件_段"/>
    <w:qFormat/>
    <w:uiPriority w:val="0"/>
    <w:pPr>
      <w:widowControl w:val="0"/>
      <w:spacing w:line="360" w:lineRule="auto"/>
      <w:ind w:firstLine="198" w:firstLineChars="200"/>
      <w:jc w:val="both"/>
    </w:pPr>
    <w:rPr>
      <w:rFonts w:ascii="Times New Roman" w:hAnsi="Times New Roman" w:eastAsia="宋体" w:cs="Times New Roman"/>
      <w:kern w:val="2"/>
      <w:sz w:val="24"/>
      <w:lang w:val="en-US" w:eastAsia="zh-CN" w:bidi="ar-SA"/>
    </w:rPr>
  </w:style>
  <w:style w:type="paragraph" w:styleId="9">
    <w:name w:val="List Paragraph"/>
    <w:basedOn w:val="1"/>
    <w:qFormat/>
    <w:uiPriority w:val="0"/>
    <w:pPr>
      <w:ind w:firstLine="420" w:firstLineChars="200"/>
    </w:pPr>
  </w:style>
  <w:style w:type="character" w:customStyle="1" w:styleId="10">
    <w:name w:val="页眉 Char"/>
    <w:basedOn w:val="6"/>
    <w:link w:val="5"/>
    <w:qFormat/>
    <w:uiPriority w:val="0"/>
    <w:rPr>
      <w:kern w:val="2"/>
      <w:sz w:val="18"/>
      <w:szCs w:val="18"/>
    </w:rPr>
  </w:style>
  <w:style w:type="character" w:customStyle="1" w:styleId="11">
    <w:name w:val="页脚 Char"/>
    <w:basedOn w:val="6"/>
    <w:link w:val="4"/>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142</Words>
  <Characters>816</Characters>
  <Lines>6</Lines>
  <Paragraphs>1</Paragraphs>
  <TotalTime>4</TotalTime>
  <ScaleCrop>false</ScaleCrop>
  <LinksUpToDate>false</LinksUpToDate>
  <CharactersWithSpaces>957</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2021-02-26T02:46:00Z</dcterms:created>
  <dc:creator>姜喆</dc:creator>
  <cp:lastModifiedBy>朱虹</cp:lastModifiedBy>
  <dcterms:modified xsi:type="dcterms:W3CDTF">2023-04-19T08:49:50Z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