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 年</w:t>
      </w:r>
      <w:r>
        <w:rPr>
          <w:rFonts w:hint="eastAsia" w:ascii="仿宋_GB2312" w:eastAsia="仿宋_GB2312"/>
          <w:sz w:val="32"/>
          <w:lang w:val="en-US" w:eastAsia="zh-CN"/>
        </w:rPr>
        <w:t xml:space="preserve"> 5</w:t>
      </w:r>
      <w:r>
        <w:rPr>
          <w:rFonts w:hint="eastAsia" w:ascii="仿宋_GB2312" w:eastAsia="仿宋_GB2312"/>
          <w:sz w:val="32"/>
        </w:rPr>
        <w:t xml:space="preserve"> 月 </w:t>
      </w:r>
      <w:r>
        <w:rPr>
          <w:rFonts w:hint="eastAsia" w:ascii="仿宋_GB2312" w:eastAsia="仿宋_GB2312"/>
          <w:sz w:val="32"/>
          <w:lang w:val="en-US" w:eastAsia="zh-CN"/>
        </w:rPr>
        <w:t>25</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p>
    <w:tbl>
      <w:tblPr>
        <w:tblStyle w:val="7"/>
        <w:tblpPr w:leftFromText="180" w:rightFromText="180" w:vertAnchor="text" w:horzAnchor="page" w:tblpX="1580" w:tblpY="457"/>
        <w:tblOverlap w:val="never"/>
        <w:tblW w:w="8814" w:type="dxa"/>
        <w:tblInd w:w="0" w:type="dxa"/>
        <w:tblLayout w:type="fixed"/>
        <w:tblCellMar>
          <w:top w:w="0" w:type="dxa"/>
          <w:left w:w="108" w:type="dxa"/>
          <w:bottom w:w="0" w:type="dxa"/>
          <w:right w:w="108" w:type="dxa"/>
        </w:tblCellMar>
      </w:tblPr>
      <w:tblGrid>
        <w:gridCol w:w="2593"/>
        <w:gridCol w:w="1833"/>
        <w:gridCol w:w="716"/>
        <w:gridCol w:w="550"/>
        <w:gridCol w:w="792"/>
        <w:gridCol w:w="1588"/>
        <w:gridCol w:w="742"/>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2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姜喆</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233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18019196556</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233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jiangzhe@comac.cc</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22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过站绕机检查智能终端设备试制</w:t>
            </w:r>
            <w:r>
              <w:rPr>
                <w:rFonts w:hint="eastAsia" w:ascii="仿宋_GB2312" w:hAnsi="宋体" w:eastAsia="仿宋_GB2312" w:cs="宋体"/>
                <w:color w:val="000000"/>
                <w:kern w:val="0"/>
                <w:sz w:val="24"/>
                <w:lang w:eastAsia="zh-CN"/>
              </w:rPr>
              <w:t>项目</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39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221" w:type="dxa"/>
            <w:gridSpan w:val="6"/>
            <w:tcBorders>
              <w:top w:val="single" w:color="auto" w:sz="4" w:space="0"/>
              <w:left w:val="nil"/>
              <w:bottom w:val="single" w:color="auto" w:sz="4" w:space="0"/>
              <w:right w:val="single" w:color="auto" w:sz="4" w:space="0"/>
            </w:tcBorders>
            <w:vAlign w:val="center"/>
          </w:tcPr>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1.供应商应为在中华人民共和国境内经国家工商行政管理部门核准登记注册且具有独立承担民事责任能力的企业；具有企业法人营业执照并具有完成本项目所需的经营范围；</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2.供应商的注册资金不少于</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00万元人民币或其他等额外币；</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3.供应商应具有良好的商业信誉和健全的财务会计制度；</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4.供应商应具有良好的依法缴纳税收和社会保障资金的记录；</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5.供应商应提供经营活动中没有重大违法记录的证明材料，并遵守法律、行政法规等规定的其他条件；</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6.供应商未被“信用中国”等网站（www.creditchina.gov.cn）等列入失信被执行人、重大税收违法案件当事人名单、政府采购严重违法失信行为记录名单；在签署本项目合同及履行本项目义务时无任何法律障碍和重大事件影响供应商继续正常存续和全面履行本项目合同的能力；披露正在审理或执行完毕的标的金额大于500万元人民币（含本数）的重大诉讼、仲裁、索赔、行政复议或行政处罚；</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7.供应商应具有完善的质量体系，并提供相应的质量证书，如质量管理体系认证证书、环境管理体系认证证书等；</w:t>
            </w:r>
          </w:p>
          <w:p>
            <w:pPr>
              <w:autoSpaceDN w:val="0"/>
              <w:spacing w:line="336"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8</w:t>
            </w:r>
            <w:r>
              <w:rPr>
                <w:rFonts w:hint="eastAsia" w:ascii="仿宋_GB2312" w:hAnsi="宋体" w:eastAsia="仿宋_GB2312" w:cs="宋体"/>
                <w:color w:val="000000"/>
                <w:kern w:val="0"/>
                <w:sz w:val="21"/>
                <w:szCs w:val="21"/>
              </w:rPr>
              <w:t>.供应商须提供有效的加载统一社会信用代码的营业执照（复印件加盖章）；</w:t>
            </w:r>
          </w:p>
          <w:p>
            <w:pPr>
              <w:autoSpaceDN w:val="0"/>
              <w:spacing w:line="280" w:lineRule="exact"/>
              <w:ind w:right="-94" w:rightChars="-45"/>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.供应商需提供单位负责人授权委托书（原件），单位负责人及授权委托人的身份证（复印件）并加盖公章</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33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22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具备</w:t>
            </w:r>
            <w:r>
              <w:rPr>
                <w:rFonts w:hint="eastAsia" w:ascii="仿宋_GB2312" w:hAnsi="宋体" w:eastAsia="仿宋_GB2312" w:cs="宋体"/>
                <w:color w:val="000000"/>
                <w:kern w:val="0"/>
                <w:sz w:val="21"/>
                <w:szCs w:val="21"/>
                <w:lang w:val="en-US" w:eastAsia="zh-CN"/>
              </w:rPr>
              <w:t>定制化智能终端设备及其配套软件</w:t>
            </w:r>
            <w:r>
              <w:rPr>
                <w:rFonts w:hint="eastAsia" w:ascii="仿宋_GB2312" w:hAnsi="宋体" w:eastAsia="仿宋_GB2312" w:cs="宋体"/>
                <w:color w:val="000000"/>
                <w:kern w:val="0"/>
                <w:sz w:val="21"/>
                <w:szCs w:val="21"/>
              </w:rPr>
              <w:t>的研发、维护和升级能力</w:t>
            </w:r>
            <w:r>
              <w:rPr>
                <w:rFonts w:hint="eastAsia" w:ascii="仿宋_GB2312" w:hAnsi="宋体" w:eastAsia="仿宋_GB2312" w:cs="宋体"/>
                <w:color w:val="000000"/>
                <w:kern w:val="0"/>
                <w:sz w:val="21"/>
                <w:szCs w:val="21"/>
                <w:lang w:eastAsia="zh-CN"/>
              </w:rPr>
              <w:t>；</w:t>
            </w:r>
          </w:p>
          <w:p>
            <w:pPr>
              <w:numPr>
                <w:ilvl w:val="0"/>
                <w:numId w:val="1"/>
              </w:numPr>
              <w:autoSpaceDN w:val="0"/>
              <w:spacing w:line="280" w:lineRule="exact"/>
              <w:jc w:val="left"/>
              <w:textAlignment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具备根据采购方要求进行软</w:t>
            </w:r>
            <w:r>
              <w:rPr>
                <w:rFonts w:hint="eastAsia" w:ascii="仿宋_GB2312" w:hAnsi="宋体" w:eastAsia="仿宋_GB2312" w:cs="宋体"/>
                <w:color w:val="000000"/>
                <w:kern w:val="0"/>
                <w:sz w:val="21"/>
                <w:szCs w:val="21"/>
                <w:lang w:val="en-US" w:eastAsia="zh-CN"/>
              </w:rPr>
              <w:t>硬</w:t>
            </w:r>
            <w:r>
              <w:rPr>
                <w:rFonts w:hint="eastAsia" w:ascii="仿宋_GB2312" w:hAnsi="宋体" w:eastAsia="仿宋_GB2312" w:cs="宋体"/>
                <w:color w:val="000000"/>
                <w:kern w:val="0"/>
                <w:sz w:val="21"/>
                <w:szCs w:val="21"/>
              </w:rPr>
              <w:t>件客户化的能力；</w:t>
            </w:r>
          </w:p>
          <w:p>
            <w:pPr>
              <w:numPr>
                <w:ilvl w:val="0"/>
                <w:numId w:val="1"/>
              </w:numPr>
              <w:autoSpaceDN w:val="0"/>
              <w:spacing w:line="280" w:lineRule="exact"/>
              <w:jc w:val="left"/>
              <w:textAlignment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具备</w:t>
            </w:r>
            <w:r>
              <w:rPr>
                <w:rFonts w:hint="eastAsia" w:ascii="仿宋_GB2312" w:hAnsi="宋体" w:eastAsia="仿宋_GB2312" w:cs="宋体"/>
                <w:color w:val="000000"/>
                <w:kern w:val="0"/>
                <w:sz w:val="21"/>
                <w:szCs w:val="21"/>
                <w:lang w:val="en-US" w:eastAsia="zh-CN"/>
              </w:rPr>
              <w:t>软硬件</w:t>
            </w:r>
            <w:r>
              <w:rPr>
                <w:rFonts w:hint="eastAsia" w:ascii="仿宋_GB2312" w:hAnsi="宋体" w:eastAsia="仿宋_GB2312" w:cs="宋体"/>
                <w:color w:val="000000"/>
                <w:kern w:val="0"/>
                <w:sz w:val="21"/>
                <w:szCs w:val="21"/>
              </w:rPr>
              <w:t>使用培训</w:t>
            </w:r>
            <w:r>
              <w:rPr>
                <w:rFonts w:hint="eastAsia" w:ascii="仿宋_GB2312" w:hAnsi="宋体" w:eastAsia="仿宋_GB2312" w:cs="宋体"/>
                <w:color w:val="000000"/>
                <w:kern w:val="0"/>
                <w:sz w:val="21"/>
                <w:szCs w:val="21"/>
                <w:lang w:val="en-US" w:eastAsia="zh-CN"/>
              </w:rPr>
              <w:t>的</w:t>
            </w:r>
            <w:r>
              <w:rPr>
                <w:rFonts w:hint="eastAsia" w:ascii="仿宋_GB2312" w:hAnsi="宋体" w:eastAsia="仿宋_GB2312" w:cs="宋体"/>
                <w:color w:val="000000"/>
                <w:kern w:val="0"/>
                <w:sz w:val="21"/>
                <w:szCs w:val="21"/>
              </w:rPr>
              <w:t>能力；</w:t>
            </w:r>
          </w:p>
          <w:p>
            <w:pPr>
              <w:numPr>
                <w:ilvl w:val="0"/>
                <w:numId w:val="1"/>
              </w:numPr>
              <w:autoSpaceDN w:val="0"/>
              <w:spacing w:line="280" w:lineRule="exact"/>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具备针对</w:t>
            </w:r>
            <w:r>
              <w:rPr>
                <w:rFonts w:hint="eastAsia" w:ascii="仿宋_GB2312" w:hAnsi="宋体" w:eastAsia="仿宋_GB2312" w:cs="宋体"/>
                <w:color w:val="000000"/>
                <w:kern w:val="0"/>
                <w:sz w:val="21"/>
                <w:szCs w:val="21"/>
                <w:lang w:val="en-US" w:eastAsia="zh-CN"/>
              </w:rPr>
              <w:t>中国大陆地区</w:t>
            </w:r>
            <w:r>
              <w:rPr>
                <w:rFonts w:hint="eastAsia" w:ascii="仿宋_GB2312" w:hAnsi="宋体" w:eastAsia="仿宋_GB2312" w:cs="宋体"/>
                <w:color w:val="000000"/>
                <w:kern w:val="0"/>
                <w:sz w:val="21"/>
                <w:szCs w:val="21"/>
              </w:rPr>
              <w:t>的售后服务能力</w:t>
            </w:r>
            <w:r>
              <w:rPr>
                <w:rFonts w:hint="eastAsia" w:ascii="仿宋_GB2312" w:hAnsi="宋体" w:eastAsia="仿宋_GB2312" w:cs="宋体"/>
                <w:color w:val="000000"/>
                <w:kern w:val="0"/>
                <w:sz w:val="21"/>
                <w:szCs w:val="21"/>
                <w:lang w:eastAsia="zh-CN"/>
              </w:rPr>
              <w:t>；</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1"/>
                <w:szCs w:val="21"/>
                <w:lang w:val="en-US" w:eastAsia="zh-CN"/>
              </w:rPr>
              <w:t>需至少提供两份及以上类似项目过往业绩证明。</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221" w:type="dxa"/>
            <w:gridSpan w:val="6"/>
            <w:tcBorders>
              <w:top w:val="single" w:color="auto" w:sz="4" w:space="0"/>
              <w:left w:val="nil"/>
              <w:bottom w:val="single" w:color="auto" w:sz="4" w:space="0"/>
              <w:right w:val="single" w:color="auto" w:sz="4" w:space="0"/>
            </w:tcBorders>
            <w:vAlign w:val="center"/>
          </w:tcPr>
          <w:p>
            <w:pPr>
              <w:numPr>
                <w:ilvl w:val="0"/>
                <w:numId w:val="2"/>
              </w:numPr>
              <w:autoSpaceDN w:val="0"/>
              <w:adjustRightInd w:val="0"/>
              <w:snapToGrid w:val="0"/>
              <w:spacing w:line="300" w:lineRule="auto"/>
              <w:textAlignment w:val="center"/>
              <w:rPr>
                <w:rFonts w:ascii="仿宋_GB2312" w:hAnsi="宋体" w:eastAsia="仿宋_GB2312" w:cs="宋体"/>
                <w:color w:val="000000"/>
                <w:kern w:val="0"/>
                <w:sz w:val="21"/>
                <w:szCs w:val="21"/>
              </w:rPr>
            </w:pPr>
            <w:r>
              <w:rPr>
                <w:rFonts w:hint="eastAsia" w:ascii="仿宋_GB2312" w:hAnsi="宋体" w:eastAsia="仿宋_GB2312" w:cs="宋体"/>
                <w:sz w:val="21"/>
                <w:szCs w:val="21"/>
                <w:lang w:eastAsia="zh-CN"/>
              </w:rPr>
              <w:t>供应商</w:t>
            </w:r>
            <w:r>
              <w:rPr>
                <w:rFonts w:hint="eastAsia" w:ascii="仿宋_GB2312" w:hAnsi="宋体" w:eastAsia="仿宋_GB2312" w:cs="宋体"/>
                <w:sz w:val="21"/>
                <w:szCs w:val="21"/>
              </w:rPr>
              <w:t>陈述并保证，其拥有的背景知识产权、其履行本</w:t>
            </w:r>
            <w:r>
              <w:rPr>
                <w:rFonts w:hint="eastAsia" w:ascii="仿宋_GB2312" w:hAnsi="宋体" w:eastAsia="仿宋_GB2312" w:cs="宋体"/>
                <w:sz w:val="21"/>
                <w:szCs w:val="21"/>
                <w:lang w:eastAsia="zh-CN"/>
              </w:rPr>
              <w:t>项目</w:t>
            </w:r>
            <w:r>
              <w:rPr>
                <w:rFonts w:hint="eastAsia" w:ascii="仿宋_GB2312" w:hAnsi="宋体" w:eastAsia="仿宋_GB2312" w:cs="宋体"/>
                <w:sz w:val="21"/>
                <w:szCs w:val="21"/>
              </w:rPr>
              <w:t>的义务或</w:t>
            </w:r>
            <w:r>
              <w:rPr>
                <w:rFonts w:hint="eastAsia" w:ascii="仿宋_GB2312" w:hAnsi="宋体" w:eastAsia="仿宋_GB2312" w:cs="宋体"/>
                <w:sz w:val="21"/>
                <w:szCs w:val="21"/>
                <w:lang w:eastAsia="zh-CN"/>
              </w:rPr>
              <w:t>供应商</w:t>
            </w:r>
            <w:r>
              <w:rPr>
                <w:rFonts w:hint="eastAsia" w:ascii="仿宋_GB2312" w:hAnsi="宋体" w:eastAsia="仿宋_GB2312" w:cs="宋体"/>
                <w:sz w:val="21"/>
                <w:szCs w:val="21"/>
              </w:rPr>
              <w:t>使用本</w:t>
            </w:r>
            <w:r>
              <w:rPr>
                <w:rFonts w:hint="eastAsia" w:ascii="仿宋_GB2312" w:hAnsi="宋体" w:eastAsia="仿宋_GB2312" w:cs="宋体"/>
                <w:sz w:val="21"/>
                <w:szCs w:val="21"/>
                <w:lang w:eastAsia="zh-CN"/>
              </w:rPr>
              <w:t>项目</w:t>
            </w:r>
            <w:r>
              <w:rPr>
                <w:rFonts w:hint="eastAsia" w:ascii="仿宋_GB2312" w:hAnsi="宋体" w:eastAsia="仿宋_GB2312" w:cs="宋体"/>
                <w:sz w:val="21"/>
                <w:szCs w:val="21"/>
              </w:rPr>
              <w:t>下交付物或享有交付物的利益不侵犯或不构成对任何第三方的知识产权的侵权或不正当使用。</w:t>
            </w:r>
          </w:p>
          <w:p>
            <w:pPr>
              <w:numPr>
                <w:ilvl w:val="0"/>
                <w:numId w:val="2"/>
              </w:numPr>
              <w:autoSpaceDN w:val="0"/>
              <w:adjustRightInd w:val="0"/>
              <w:snapToGrid w:val="0"/>
              <w:spacing w:line="300" w:lineRule="auto"/>
              <w:textAlignment w:val="center"/>
              <w:rPr>
                <w:rFonts w:ascii="仿宋_GB2312" w:hAnsi="宋体" w:eastAsia="仿宋_GB2312" w:cs="宋体"/>
                <w:color w:val="000000"/>
                <w:kern w:val="0"/>
                <w:sz w:val="21"/>
                <w:szCs w:val="21"/>
              </w:rPr>
            </w:pPr>
            <w:r>
              <w:rPr>
                <w:rFonts w:hint="eastAsia" w:ascii="仿宋_GB2312" w:hAnsi="宋体" w:eastAsia="仿宋_GB2312" w:cs="宋体"/>
                <w:sz w:val="21"/>
                <w:szCs w:val="21"/>
              </w:rPr>
              <w:t>本</w:t>
            </w:r>
            <w:r>
              <w:rPr>
                <w:rFonts w:hint="eastAsia" w:ascii="仿宋_GB2312" w:hAnsi="宋体" w:eastAsia="仿宋_GB2312" w:cs="宋体"/>
                <w:sz w:val="21"/>
                <w:szCs w:val="21"/>
                <w:lang w:eastAsia="zh-CN"/>
              </w:rPr>
              <w:t>项目</w:t>
            </w:r>
            <w:r>
              <w:rPr>
                <w:rFonts w:hint="eastAsia" w:ascii="仿宋_GB2312" w:hAnsi="宋体" w:eastAsia="仿宋_GB2312" w:cs="宋体"/>
                <w:sz w:val="21"/>
                <w:szCs w:val="21"/>
              </w:rPr>
              <w:t>产生的数据、软件、硬件等所有前景知识产权归</w:t>
            </w:r>
            <w:r>
              <w:rPr>
                <w:rFonts w:hint="eastAsia" w:ascii="仿宋_GB2312" w:hAnsi="宋体" w:eastAsia="仿宋_GB2312" w:cs="宋体"/>
                <w:sz w:val="21"/>
                <w:szCs w:val="21"/>
                <w:lang w:eastAsia="zh-CN"/>
              </w:rPr>
              <w:t>采购</w:t>
            </w:r>
            <w:r>
              <w:rPr>
                <w:rFonts w:hint="eastAsia" w:ascii="仿宋_GB2312" w:hAnsi="宋体" w:eastAsia="仿宋_GB2312" w:cs="宋体"/>
                <w:sz w:val="21"/>
                <w:szCs w:val="21"/>
              </w:rPr>
              <w:t>方独家所有</w:t>
            </w:r>
            <w:r>
              <w:rPr>
                <w:rFonts w:hint="eastAsia" w:ascii="仿宋_GB2312" w:hAnsi="宋体" w:eastAsia="仿宋_GB2312" w:cs="宋体"/>
                <w:sz w:val="21"/>
                <w:szCs w:val="21"/>
                <w:lang w:eastAsia="zh-CN"/>
              </w:rPr>
              <w:t>。</w:t>
            </w:r>
          </w:p>
          <w:p>
            <w:pPr>
              <w:numPr>
                <w:ilvl w:val="0"/>
                <w:numId w:val="2"/>
              </w:numPr>
              <w:autoSpaceDN w:val="0"/>
              <w:adjustRightInd w:val="0"/>
              <w:snapToGrid w:val="0"/>
              <w:spacing w:line="300" w:lineRule="auto"/>
              <w:ind w:right="124" w:rightChars="59"/>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1"/>
                <w:szCs w:val="21"/>
              </w:rPr>
              <w:t>详细技术要求详见附录</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　</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69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22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1"/>
                <w:numId w:val="0"/>
              </w:numPr>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1.合同签订（T0）后12个月内完成过站绕机检查智能终端设备及其配套软件的交付安装、调试、试运行和相关使用培训，并通过最终验收。进度计划如下：</w:t>
            </w:r>
          </w:p>
          <w:tbl>
            <w:tblPr>
              <w:tblStyle w:val="8"/>
              <w:tblW w:w="5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33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pStyle w:val="2"/>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起止时间</w:t>
                  </w:r>
                </w:p>
              </w:tc>
              <w:tc>
                <w:tcPr>
                  <w:tcW w:w="3332" w:type="dxa"/>
                </w:tcPr>
                <w:p>
                  <w:pPr>
                    <w:pStyle w:val="2"/>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重点工作内容</w:t>
                  </w:r>
                </w:p>
              </w:tc>
              <w:tc>
                <w:tcPr>
                  <w:tcW w:w="1503" w:type="dxa"/>
                </w:tcPr>
                <w:p>
                  <w:pPr>
                    <w:pStyle w:val="2"/>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交付形式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T0+1（M）</w:t>
                  </w:r>
                </w:p>
              </w:tc>
              <w:tc>
                <w:tcPr>
                  <w:tcW w:w="3332"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完成项目需求调研与总体技术方案。</w:t>
                  </w:r>
                </w:p>
              </w:tc>
              <w:tc>
                <w:tcPr>
                  <w:tcW w:w="1503"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技术方案/文件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T0+5（M）</w:t>
                  </w:r>
                </w:p>
              </w:tc>
              <w:tc>
                <w:tcPr>
                  <w:tcW w:w="3332"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完成过站绕机检查智能终端设备及其配套软件的开发。</w:t>
                  </w:r>
                </w:p>
              </w:tc>
              <w:tc>
                <w:tcPr>
                  <w:tcW w:w="1503"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硬件设备/软件平台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T0+6（M）</w:t>
                  </w:r>
                </w:p>
              </w:tc>
              <w:tc>
                <w:tcPr>
                  <w:tcW w:w="3332"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完成软硬件联调及测试，并通过中期评审。</w:t>
                  </w:r>
                </w:p>
              </w:tc>
              <w:tc>
                <w:tcPr>
                  <w:tcW w:w="1503"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T0+12（M）</w:t>
                  </w:r>
                </w:p>
              </w:tc>
              <w:tc>
                <w:tcPr>
                  <w:tcW w:w="3332"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完成过站绕机检查智能终端设备及其配套软件的试运行、技术验证与用户培训，并通过最终验收。</w:t>
                  </w:r>
                </w:p>
              </w:tc>
              <w:tc>
                <w:tcPr>
                  <w:tcW w:w="1503" w:type="dxa"/>
                </w:tcPr>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试运行报告</w:t>
                  </w:r>
                </w:p>
              </w:tc>
            </w:tr>
          </w:tbl>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2.合同金额分三期支付，每期支付的金额和时间要求如下：</w:t>
            </w:r>
          </w:p>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 第一期支付合同金额的35%，支付时间：在合同签订后6个月内完成软硬件联调，通过中期评审，在收到供应商提供合法有效的对应金额的增值税专用发票之日起30个日历日内；</w:t>
            </w:r>
          </w:p>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2.2 第二期支付合同总金额的55%，支付时间：在合同签订后12个月内完成过站绕机检查智能终端设备及其配套软件的试运行与技术验证后，并对相关用户进行培训，达到合格验收状态并通过最终验收，在收到供应商提供合法有效的对应金额的增值税专用发票之日起30个日历日内；</w:t>
            </w:r>
          </w:p>
          <w:p>
            <w:pPr>
              <w:keepNext w:val="0"/>
              <w:keepLines w:val="0"/>
              <w:pageBreakBefore w:val="0"/>
              <w:widowControl w:val="0"/>
              <w:kinsoku/>
              <w:wordWrap/>
              <w:overflowPunct/>
              <w:topLinePunct w:val="0"/>
              <w:autoSpaceDE/>
              <w:autoSpaceDN w:val="0"/>
              <w:bidi w:val="0"/>
              <w:adjustRightInd w:val="0"/>
              <w:snapToGrid w:val="0"/>
              <w:spacing w:line="300" w:lineRule="auto"/>
              <w:ind w:right="-94" w:rightChars="-45" w:firstLine="0" w:firstLineChars="0"/>
              <w:textAlignment w:val="center"/>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2.3 第三期支付合同总金额的10%，支付时间：</w:t>
            </w:r>
            <w:r>
              <w:rPr>
                <w:rFonts w:hint="eastAsia" w:ascii="仿宋_GB2312" w:hAnsi="仿宋_GB2312" w:eastAsia="仿宋_GB2312" w:cs="仿宋_GB2312"/>
              </w:rPr>
              <w:t>最终验收合格，质保期满后无质量问题且仍能满足使用需求，</w:t>
            </w:r>
            <w:r>
              <w:rPr>
                <w:rFonts w:hint="eastAsia" w:ascii="仿宋_GB2312" w:hAnsi="仿宋_GB2312" w:eastAsia="仿宋_GB2312" w:cs="仿宋_GB2312"/>
                <w:lang w:val="en-US" w:eastAsia="zh-CN"/>
              </w:rPr>
              <w:t>在收到供应商提供合法有效的对应金额的增值税专用发票之日起30个日历日内。</w:t>
            </w:r>
            <w:r>
              <w:rPr>
                <w:rFonts w:hint="eastAsia" w:ascii="仿宋_GB2312" w:hAnsi="仿宋_GB2312" w:eastAsia="仿宋_GB2312" w:cs="仿宋_GB2312"/>
              </w:rPr>
              <w:t>　</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3.供应商须至少提供12个月的质量保证服务。</w:t>
            </w:r>
          </w:p>
          <w:p>
            <w:pPr>
              <w:rPr>
                <w:rFonts w:hint="eastAsia"/>
                <w:lang w:val="en-US" w:eastAsia="zh-CN"/>
              </w:rPr>
            </w:pPr>
            <w:r>
              <w:rPr>
                <w:rFonts w:hint="eastAsia" w:ascii="仿宋_GB2312" w:hAnsi="仿宋_GB2312" w:eastAsia="仿宋_GB2312" w:cs="仿宋_GB2312"/>
                <w:sz w:val="21"/>
                <w:lang w:val="en-US" w:eastAsia="zh-CN"/>
              </w:rPr>
              <w:t>4.后续将</w:t>
            </w:r>
            <w:r>
              <w:rPr>
                <w:rFonts w:hint="eastAsia" w:ascii="仿宋_GB2312" w:hAnsi="仿宋_GB2312" w:eastAsia="仿宋_GB2312" w:cs="仿宋_GB2312"/>
                <w:sz w:val="21"/>
              </w:rPr>
              <w:t>根据</w:t>
            </w:r>
            <w:r>
              <w:rPr>
                <w:rFonts w:hint="eastAsia" w:ascii="仿宋_GB2312" w:hAnsi="仿宋_GB2312" w:eastAsia="仿宋_GB2312" w:cs="仿宋_GB2312"/>
                <w:sz w:val="21"/>
                <w:lang w:eastAsia="zh-CN"/>
              </w:rPr>
              <w:t>供应商报价情况、资质情况、业绩能力、</w:t>
            </w:r>
            <w:r>
              <w:rPr>
                <w:rFonts w:hint="eastAsia" w:ascii="仿宋_GB2312" w:hAnsi="仿宋_GB2312" w:eastAsia="仿宋_GB2312" w:cs="仿宋_GB2312"/>
                <w:sz w:val="21"/>
              </w:rPr>
              <w:t>售后服务体系、培训、服务内容及人员配置进行综合评分。</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22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1680" w:firstLineChars="7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 xml:space="preserve">2023 </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sym w:font="Wingdings" w:char="00FE"/>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7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left="220" w:hanging="220" w:hangingChars="10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left="220" w:hanging="220" w:hangingChars="10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br w:type="page"/>
      </w:r>
    </w:p>
    <w:p/>
    <w:p>
      <w:pPr>
        <w:pStyle w:val="9"/>
        <w:ind w:left="280" w:hanging="280" w:hangingChars="100"/>
        <w:jc w:val="center"/>
        <w:rPr>
          <w:rFonts w:ascii="黑体" w:eastAsia="黑体"/>
          <w:sz w:val="28"/>
          <w:szCs w:val="28"/>
        </w:rPr>
      </w:pPr>
      <w:r>
        <w:rPr>
          <w:rFonts w:hint="eastAsia" w:ascii="黑体" w:eastAsia="黑体"/>
          <w:sz w:val="28"/>
          <w:szCs w:val="28"/>
        </w:rPr>
        <w:t>附录1 详细技术要求</w:t>
      </w:r>
    </w:p>
    <w:p>
      <w:pPr>
        <w:rPr>
          <w:rFonts w:hint="default" w:eastAsia="宋体"/>
          <w:b/>
          <w:bCs/>
          <w:sz w:val="28"/>
          <w:szCs w:val="36"/>
          <w:lang w:val="en-US" w:eastAsia="zh-CN"/>
        </w:rPr>
      </w:pPr>
      <w:r>
        <w:rPr>
          <w:rFonts w:hint="eastAsia"/>
          <w:b/>
          <w:bCs/>
          <w:sz w:val="28"/>
          <w:szCs w:val="36"/>
          <w:lang w:val="en-US" w:eastAsia="zh-CN"/>
        </w:rPr>
        <w:t>过站绕机检查智能终端设备</w:t>
      </w:r>
    </w:p>
    <w:tbl>
      <w:tblPr>
        <w:tblStyle w:val="7"/>
        <w:tblW w:w="996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76" w:type="dxa"/>
          </w:tcPr>
          <w:p>
            <w:pPr>
              <w:widowControl/>
              <w:spacing w:line="360" w:lineRule="auto"/>
              <w:ind w:right="26"/>
              <w:jc w:val="center"/>
              <w:textAlignment w:val="bottom"/>
              <w:rPr>
                <w:rFonts w:ascii="仿宋" w:hAnsi="仿宋" w:eastAsia="仿宋" w:cs="仿宋"/>
                <w:b/>
                <w:bCs/>
                <w:color w:val="000000"/>
                <w:sz w:val="24"/>
              </w:rPr>
            </w:pPr>
            <w:r>
              <w:rPr>
                <w:rFonts w:hint="eastAsia" w:ascii="仿宋" w:hAnsi="仿宋" w:eastAsia="仿宋" w:cs="仿宋"/>
                <w:b/>
                <w:bCs/>
                <w:color w:val="000000"/>
                <w:sz w:val="24"/>
              </w:rPr>
              <w:t>指标项</w:t>
            </w:r>
          </w:p>
        </w:tc>
        <w:tc>
          <w:tcPr>
            <w:tcW w:w="8389" w:type="dxa"/>
          </w:tcPr>
          <w:p>
            <w:pPr>
              <w:widowControl/>
              <w:spacing w:line="360" w:lineRule="auto"/>
              <w:ind w:right="26"/>
              <w:jc w:val="center"/>
              <w:textAlignment w:val="bottom"/>
              <w:rPr>
                <w:rFonts w:ascii="仿宋" w:hAnsi="仿宋" w:eastAsia="仿宋" w:cs="仿宋"/>
                <w:b/>
                <w:bCs/>
                <w:color w:val="000000"/>
                <w:sz w:val="24"/>
              </w:rPr>
            </w:pPr>
            <w:r>
              <w:rPr>
                <w:rFonts w:hint="eastAsia" w:ascii="仿宋" w:hAnsi="仿宋" w:eastAsia="仿宋" w:cs="仿宋"/>
                <w:b/>
                <w:bCs/>
                <w:color w:val="000000"/>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lang w:eastAsia="zh-CN"/>
              </w:rPr>
            </w:pPr>
            <w:r>
              <w:rPr>
                <w:rFonts w:hint="eastAsia" w:ascii="仿宋" w:hAnsi="仿宋" w:eastAsia="仿宋" w:cs="仿宋"/>
                <w:i w:val="0"/>
                <w:iCs w:val="0"/>
                <w:sz w:val="24"/>
                <w:szCs w:val="24"/>
                <w:lang w:val="en-US" w:eastAsia="zh-CN"/>
              </w:rPr>
              <w:t>数据</w:t>
            </w:r>
            <w:r>
              <w:rPr>
                <w:rFonts w:hint="eastAsia" w:ascii="仿宋" w:hAnsi="仿宋" w:eastAsia="仿宋" w:cs="仿宋"/>
                <w:i w:val="0"/>
                <w:iCs w:val="0"/>
                <w:sz w:val="24"/>
                <w:szCs w:val="24"/>
                <w:lang w:eastAsia="zh-CN"/>
              </w:rPr>
              <w:t>存储</w:t>
            </w:r>
          </w:p>
        </w:tc>
        <w:tc>
          <w:tcPr>
            <w:tcW w:w="8389" w:type="dxa"/>
          </w:tcPr>
          <w:p>
            <w:pPr>
              <w:keepNext w:val="0"/>
              <w:keepLines w:val="0"/>
              <w:pageBreakBefore w:val="0"/>
              <w:widowControl w:val="0"/>
              <w:numPr>
                <w:ilvl w:val="0"/>
                <w:numId w:val="3"/>
              </w:numPr>
              <w:kinsoku/>
              <w:wordWrap/>
              <w:overflowPunct/>
              <w:topLinePunct w:val="0"/>
              <w:autoSpaceDE/>
              <w:autoSpaceDN/>
              <w:bidi w:val="0"/>
              <w:spacing w:line="336" w:lineRule="auto"/>
              <w:ind w:left="420" w:hanging="420"/>
              <w:textAlignment w:val="auto"/>
              <w:outlineLvl w:val="9"/>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支持云端存储及本地存储等多种方式的数据存储，且存储功能可单独部署</w:t>
            </w:r>
            <w:r>
              <w:rPr>
                <w:rFonts w:hint="default" w:ascii="仿宋" w:hAnsi="仿宋" w:eastAsia="仿宋" w:cs="仿宋"/>
                <w:i w:val="0"/>
                <w:iCs w:val="0"/>
                <w:sz w:val="24"/>
                <w:szCs w:val="24"/>
                <w:highlight w:val="none"/>
              </w:rPr>
              <w:t>，</w:t>
            </w:r>
            <w:r>
              <w:rPr>
                <w:rFonts w:hint="eastAsia" w:ascii="仿宋" w:hAnsi="仿宋" w:eastAsia="仿宋" w:cs="仿宋"/>
                <w:i w:val="0"/>
                <w:iCs w:val="0"/>
                <w:sz w:val="24"/>
                <w:szCs w:val="24"/>
                <w:highlight w:val="none"/>
              </w:rPr>
              <w:t>即绕机检查录像文件可实时传输至单独内网服务器进行存储，实现服务与数据存储的分离</w:t>
            </w:r>
            <w:r>
              <w:rPr>
                <w:rFonts w:hint="eastAsia" w:ascii="仿宋" w:hAnsi="仿宋" w:eastAsia="仿宋" w:cs="仿宋"/>
                <w:i w:val="0"/>
                <w:iCs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default" w:ascii="仿宋" w:hAnsi="仿宋" w:eastAsia="仿宋" w:cs="仿宋"/>
                <w:i w:val="0"/>
                <w:iCs w:val="0"/>
                <w:sz w:val="24"/>
                <w:szCs w:val="24"/>
                <w:lang w:eastAsia="zh-CN"/>
              </w:rPr>
            </w:pPr>
            <w:r>
              <w:rPr>
                <w:rFonts w:hint="default" w:ascii="仿宋" w:hAnsi="仿宋" w:eastAsia="仿宋" w:cs="仿宋"/>
                <w:i w:val="0"/>
                <w:iCs w:val="0"/>
                <w:sz w:val="24"/>
                <w:szCs w:val="24"/>
                <w:lang w:eastAsia="zh-CN"/>
              </w:rPr>
              <w:t>安全性</w:t>
            </w:r>
          </w:p>
        </w:tc>
        <w:tc>
          <w:tcPr>
            <w:tcW w:w="8389" w:type="dxa"/>
          </w:tcPr>
          <w:p>
            <w:pPr>
              <w:widowControl/>
              <w:numPr>
                <w:ilvl w:val="0"/>
                <w:numId w:val="3"/>
              </w:numPr>
              <w:spacing w:line="360" w:lineRule="auto"/>
              <w:ind w:left="420" w:leftChars="0" w:right="26" w:hanging="420" w:firstLineChars="0"/>
              <w:jc w:val="both"/>
              <w:textAlignment w:val="bottom"/>
              <w:rPr>
                <w:rFonts w:hint="default" w:ascii="仿宋" w:hAnsi="仿宋" w:eastAsia="仿宋" w:cs="仿宋"/>
                <w:i w:val="0"/>
                <w:iCs w:val="0"/>
                <w:sz w:val="24"/>
                <w:szCs w:val="24"/>
                <w:lang w:val="en-US" w:eastAsia="zh-CN"/>
              </w:rPr>
            </w:pPr>
            <w:r>
              <w:rPr>
                <w:rFonts w:hint="eastAsia" w:ascii="仿宋" w:hAnsi="仿宋" w:eastAsia="仿宋" w:cs="仿宋"/>
                <w:i w:val="0"/>
                <w:iCs w:val="0"/>
                <w:sz w:val="24"/>
                <w:szCs w:val="24"/>
                <w:lang w:val="en-US" w:eastAsia="zh-CN"/>
              </w:rPr>
              <w:t>数据传输过程中应符合通用数据规范及数据使用方的保密要求。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1" w:hRule="atLeast"/>
        </w:trPr>
        <w:tc>
          <w:tcPr>
            <w:tcW w:w="1576" w:type="dxa"/>
            <w:vAlign w:val="center"/>
          </w:tcPr>
          <w:p>
            <w:pPr>
              <w:widowControl/>
              <w:spacing w:line="360" w:lineRule="auto"/>
              <w:ind w:right="26"/>
              <w:jc w:val="center"/>
              <w:textAlignment w:val="bottom"/>
              <w:rPr>
                <w:rFonts w:hint="default" w:ascii="仿宋" w:hAnsi="仿宋" w:eastAsia="仿宋" w:cs="仿宋"/>
                <w:i w:val="0"/>
                <w:iCs w:val="0"/>
                <w:sz w:val="24"/>
                <w:szCs w:val="24"/>
                <w:lang w:val="en-US" w:eastAsia="zh-CN"/>
              </w:rPr>
            </w:pPr>
            <w:r>
              <w:rPr>
                <w:rFonts w:hint="eastAsia" w:ascii="仿宋" w:hAnsi="仿宋" w:eastAsia="仿宋" w:cs="仿宋"/>
                <w:i w:val="0"/>
                <w:iCs w:val="0"/>
                <w:sz w:val="24"/>
                <w:szCs w:val="24"/>
                <w:lang w:val="en-US" w:eastAsia="zh-CN"/>
              </w:rPr>
              <w:t>智能终端硬件部分</w:t>
            </w:r>
          </w:p>
        </w:tc>
        <w:tc>
          <w:tcPr>
            <w:tcW w:w="8389" w:type="dxa"/>
          </w:tcPr>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36" w:lineRule="auto"/>
              <w:ind w:left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过站绕机检查智能终端设备应包含两种形式，一类是手电筒式智能终端，另一类是手机式智能终端。</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36" w:lineRule="auto"/>
              <w:ind w:leftChars="0"/>
              <w:jc w:val="left"/>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手电筒式智能终端应包含以下硬件或功能：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夜间照明光源：搭载的强光光源应满足夜间工作需要，外接额外电源组件时持续工作时间&gt;2小时；</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红外激光靶点：可在远程协助时提供指示；</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热成像摄像头：可对不同飞机检查点位温度进行测量；</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1.5英寸高清显示屏。</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1080P分辨率摄像头。</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内存空间≥4GB。</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存储空间≥16GB，支持sd卡扩展存储。</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应支持在飞机正常运行和停放的气候条件下工作，整机具备防水防尘功能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提供WIFI/BT连接功能。   </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36" w:lineRule="auto"/>
              <w:ind w:leftChars="0"/>
              <w:jc w:val="left"/>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手机式智能终端需包含以下硬件或功能：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夜间照明光源：搭载的强光光源应满足夜间工作需要，持续工作时间&gt;2小时；</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热成像摄像头：可对不同飞机检查点位温度进行测量；</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5英寸高清显示屏。</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1080P分辨率摄像头。</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内存空间≥4GB。</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存储空间≥128GB。</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应支持在飞机正常运行和停放的气候条件下工作，整机具备防水防尘功能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提供WIFI/BT连接功能。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rPr>
            </w:pPr>
            <w:r>
              <w:rPr>
                <w:rFonts w:hint="eastAsia" w:ascii="仿宋" w:hAnsi="仿宋" w:eastAsia="仿宋" w:cs="仿宋"/>
                <w:i w:val="0"/>
                <w:iCs w:val="0"/>
                <w:sz w:val="24"/>
                <w:szCs w:val="24"/>
                <w:lang w:val="en-US" w:eastAsia="zh-CN"/>
              </w:rPr>
              <w:t>智能终端软件部分</w:t>
            </w:r>
          </w:p>
        </w:tc>
        <w:tc>
          <w:tcPr>
            <w:tcW w:w="8389" w:type="dxa"/>
          </w:tcPr>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36" w:lineRule="auto"/>
              <w:ind w:leftChars="0"/>
              <w:jc w:val="left"/>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手电筒式智能终端应包含以下软件或功能：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与手机式智能终端配对：通过WIFI/BT与手电筒式智能硬件连接, 将关键点位拍照, 绕机检查录像数据传送至手机式智能终端；</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关键点位拍照：用户可以在智能终端拍摄每个检查点位的图像并上传管理后台，并接收和显示来自后台的图像识别结果，识别成功后以震动方式提醒用户；</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绕机检查路线引导：用户可以在智能终端查看当前检查点的文字引导；</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绕机检查流程录像：智能终端需要记录用户开启绕机检查流程至结束整个过程的视频，并上传至管理后台存档。</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36" w:lineRule="auto"/>
              <w:ind w:leftChars="0"/>
              <w:jc w:val="left"/>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手机式智能终端应包含以下软件或功能：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开启绕机检查任务：用户可以在智能终端开始绕机检查任务；</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绕机检查路线引导：用户可以在智能终端查看当前检查点的文字，图像，视频教程；</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发起远程协助：用户可以在智能终端向管理后台发起远程视频通话，通话丢包率&lt;10%；</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关键点位拍照：用户可以在智能终端拍摄每个检查点位的图像并上传管理后台；</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绕机检查流程录像：智能终端需要记录用户开启绕机检查流程至结束整个过程的视频，并上传至管理后台存档；</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查看绕机检查项：用户可以在智能终端查看绕机检查任务中各检查项的点位照片；</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查看历史绕机检查任务：用户可以在智能终端查看历史绕机检查任务；</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与手电筒式智能终端配对：通过WIFI/BT与手电筒式智能终端连接, 在手电筒式智能终端完成绕机检查录像, 关键点位拍照功能；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rightChars="0"/>
              <w:jc w:val="center"/>
              <w:textAlignment w:val="bottom"/>
              <w:rPr>
                <w:rFonts w:hint="eastAsia" w:ascii="仿宋" w:hAnsi="仿宋" w:eastAsia="仿宋" w:cs="仿宋"/>
                <w:i w:val="0"/>
                <w:iCs w:val="0"/>
                <w:sz w:val="24"/>
                <w:szCs w:val="24"/>
                <w:lang w:val="en-US" w:eastAsia="zh-CN"/>
              </w:rPr>
            </w:pPr>
            <w:r>
              <w:rPr>
                <w:rFonts w:hint="eastAsia" w:ascii="仿宋" w:hAnsi="仿宋" w:eastAsia="仿宋" w:cs="仿宋"/>
                <w:i w:val="0"/>
                <w:iCs w:val="0"/>
                <w:sz w:val="24"/>
                <w:szCs w:val="24"/>
                <w:lang w:val="en-US" w:eastAsia="zh-CN"/>
              </w:rPr>
              <w:t>管理后台部分</w:t>
            </w:r>
          </w:p>
        </w:tc>
        <w:tc>
          <w:tcPr>
            <w:tcW w:w="8389" w:type="dxa"/>
            <w:vAlign w:val="top"/>
          </w:tcPr>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36" w:lineRule="auto"/>
              <w:ind w:leftChars="0"/>
              <w:jc w:val="left"/>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管理后台包含以下软件或功能：</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接受远程协助：用户可以在管理后台接收智能终端发起的远程视频通话，通话丢包率&lt;10%；</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用户权限管理：用户可以在管理后台对系统内的用户进行增删改查以及用户权限的增删改查；</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绕机检查任务管理：用户可以在管理后台查看绕机检查任务，平台还应具备接受来自航司系统绕机检查任务的接口；</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绕机检查任务视频留存：绕机检查视频支持云端留存6个月以上；</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检查单管理：用户可以在管理后台发布，删除，查看，升版检查单；</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图像识别模型管理：用户可以在管理后台查看，添加，删除当前平台支持的点位识别算法模型；</w:t>
            </w:r>
          </w:p>
          <w:p>
            <w:pPr>
              <w:pStyle w:val="10"/>
              <w:keepNext w:val="0"/>
              <w:keepLines w:val="0"/>
              <w:pageBreakBefore w:val="0"/>
              <w:widowControl w:val="0"/>
              <w:numPr>
                <w:ilvl w:val="0"/>
                <w:numId w:val="3"/>
              </w:numPr>
              <w:tabs>
                <w:tab w:val="left" w:pos="0"/>
              </w:tabs>
              <w:kinsoku/>
              <w:wordWrap/>
              <w:overflowPunct/>
              <w:topLinePunct w:val="0"/>
              <w:autoSpaceDE/>
              <w:autoSpaceDN/>
              <w:bidi w:val="0"/>
              <w:adjustRightInd w:val="0"/>
              <w:snapToGrid w:val="0"/>
              <w:spacing w:line="336" w:lineRule="auto"/>
              <w:ind w:left="420" w:leftChars="0" w:hanging="420" w:firstLineChars="0"/>
              <w:jc w:val="left"/>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图像识别算法：对典型绕机检查点位的识别率在95%以上，可实现对异常情况（如开关盖板未正常关闭等）的识别，以及对蒙皮损伤（如掉漆、鸟击、雷击等）的初步识别。</w:t>
            </w:r>
          </w:p>
        </w:tc>
      </w:tr>
    </w:tbl>
    <w:p/>
    <w:p/>
    <w:p/>
    <w:p/>
    <w:p/>
    <w:p/>
    <w:p/>
    <w:p/>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pPr>
    </w:p>
    <w:p>
      <w:pPr>
        <w:pStyle w:val="9"/>
        <w:ind w:firstLineChars="0"/>
        <w:jc w:val="left"/>
      </w:pPr>
    </w:p>
    <w:p>
      <w:pPr>
        <w:pStyle w:val="9"/>
        <w:ind w:firstLineChars="0"/>
        <w:jc w:val="left"/>
        <w:rPr>
          <w:rFonts w:hint="eastAsia"/>
        </w:rPr>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4"/>
        </w:numPr>
        <w:spacing w:line="360" w:lineRule="auto"/>
        <w:ind w:firstLineChars="0"/>
        <w:rPr>
          <w:rFonts w:hint="eastAsia"/>
          <w:sz w:val="24"/>
        </w:rPr>
      </w:pPr>
      <w:r>
        <w:rPr>
          <w:rFonts w:ascii="黑体" w:hAnsi="黑体" w:eastAsia="黑体" w:cs="黑体"/>
          <w:kern w:val="0"/>
          <w:sz w:val="28"/>
          <w:szCs w:val="64"/>
        </w:rPr>
        <w:br w:type="page"/>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sz w:val="16"/>
        <w:szCs w:val="22"/>
        <w:lang w:val="en-US" w:eastAsia="zh-CN"/>
      </w:rPr>
    </w:pPr>
    <w:r>
      <w:rPr>
        <w:rFonts w:hint="eastAsia"/>
        <w:sz w:val="16"/>
        <w:szCs w:val="22"/>
      </w:rPr>
      <w:t>SACSC-RFQ-</w:t>
    </w:r>
    <w:r>
      <w:rPr>
        <w:rFonts w:hint="eastAsia"/>
        <w:sz w:val="16"/>
        <w:szCs w:val="22"/>
        <w:lang w:val="en-US" w:eastAsia="zh-CN"/>
      </w:rPr>
      <w:t>T</w:t>
    </w:r>
    <w:r>
      <w:rPr>
        <w:rFonts w:hint="eastAsia"/>
        <w:sz w:val="16"/>
        <w:szCs w:val="22"/>
      </w:rPr>
      <w:t>-202</w:t>
    </w:r>
    <w:r>
      <w:rPr>
        <w:rFonts w:hint="eastAsia"/>
        <w:sz w:val="16"/>
        <w:szCs w:val="22"/>
        <w:lang w:val="en-US" w:eastAsia="zh-CN"/>
      </w:rPr>
      <w:t>3</w:t>
    </w:r>
    <w:r>
      <w:rPr>
        <w:rFonts w:hint="eastAsia"/>
        <w:sz w:val="16"/>
        <w:szCs w:val="22"/>
      </w:rPr>
      <w:t>00</w:t>
    </w:r>
    <w:r>
      <w:rPr>
        <w:rFonts w:hint="eastAsia"/>
        <w:sz w:val="16"/>
        <w:szCs w:val="22"/>
        <w:lang w:val="en-US" w:eastAsia="zh-CN"/>
      </w:rPr>
      <w:t>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11BB6"/>
    <w:multiLevelType w:val="singleLevel"/>
    <w:tmpl w:val="82F11BB6"/>
    <w:lvl w:ilvl="0" w:tentative="0">
      <w:start w:val="1"/>
      <w:numFmt w:val="bullet"/>
      <w:lvlText w:val=""/>
      <w:lvlJc w:val="left"/>
      <w:pPr>
        <w:ind w:left="420" w:hanging="420"/>
      </w:pPr>
      <w:rPr>
        <w:rFonts w:hint="default" w:ascii="Wingdings" w:hAnsi="Wingdings"/>
      </w:rPr>
    </w:lvl>
  </w:abstractNum>
  <w:abstractNum w:abstractNumId="1">
    <w:nsid w:val="07D63AF4"/>
    <w:multiLevelType w:val="singleLevel"/>
    <w:tmpl w:val="07D63AF4"/>
    <w:lvl w:ilvl="0" w:tentative="0">
      <w:start w:val="1"/>
      <w:numFmt w:val="decimal"/>
      <w:suff w:val="space"/>
      <w:lvlText w:val="%1."/>
      <w:lvlJc w:val="left"/>
    </w:lvl>
  </w:abstractNum>
  <w:abstractNum w:abstractNumId="2">
    <w:nsid w:val="55E8E3CD"/>
    <w:multiLevelType w:val="singleLevel"/>
    <w:tmpl w:val="55E8E3CD"/>
    <w:lvl w:ilvl="0" w:tentative="0">
      <w:start w:val="1"/>
      <w:numFmt w:val="decimal"/>
      <w:lvlText w:val="%1."/>
      <w:lvlJc w:val="left"/>
      <w:pPr>
        <w:tabs>
          <w:tab w:val="left" w:pos="312"/>
        </w:tabs>
      </w:pPr>
    </w:lvl>
  </w:abstractNum>
  <w:abstractNum w:abstractNumId="3">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DcxYWEyYzVmN2NlNTAxODllMDA2OTY1MWI3ZWUifQ=="/>
  </w:docVars>
  <w:rsids>
    <w:rsidRoot w:val="356626F1"/>
    <w:rsid w:val="01883A27"/>
    <w:rsid w:val="0AEE450E"/>
    <w:rsid w:val="18CA0CDF"/>
    <w:rsid w:val="1B913BC1"/>
    <w:rsid w:val="205929E1"/>
    <w:rsid w:val="21456C8F"/>
    <w:rsid w:val="252260E8"/>
    <w:rsid w:val="2DB92EA7"/>
    <w:rsid w:val="356626F1"/>
    <w:rsid w:val="36D80D60"/>
    <w:rsid w:val="387D7FF3"/>
    <w:rsid w:val="39A242C6"/>
    <w:rsid w:val="3E9055C8"/>
    <w:rsid w:val="3F8512AF"/>
    <w:rsid w:val="405A7CDD"/>
    <w:rsid w:val="466B6681"/>
    <w:rsid w:val="48111447"/>
    <w:rsid w:val="4C5C3FB3"/>
    <w:rsid w:val="4D777400"/>
    <w:rsid w:val="4DF574BD"/>
    <w:rsid w:val="5676025A"/>
    <w:rsid w:val="617856B4"/>
    <w:rsid w:val="66471AC8"/>
    <w:rsid w:val="6E161D0A"/>
    <w:rsid w:val="74FB280A"/>
    <w:rsid w:val="7A235B4A"/>
    <w:rsid w:val="7AA02113"/>
    <w:rsid w:val="7FCF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annotation text"/>
    <w:basedOn w:val="1"/>
    <w:qFormat/>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3192</Words>
  <Characters>3315</Characters>
  <Lines>0</Lines>
  <Paragraphs>0</Paragraphs>
  <TotalTime>1</TotalTime>
  <ScaleCrop>false</ScaleCrop>
  <LinksUpToDate>false</LinksUpToDate>
  <CharactersWithSpaces>3448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姜喆</cp:lastModifiedBy>
  <cp:lastPrinted>2023-05-17T07:59:00Z</cp:lastPrinted>
  <dcterms:modified xsi:type="dcterms:W3CDTF">2023-05-25T06:42:56Z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57C1C1A1D57B4D25BBA12D6FD4FE71C4_13</vt:lpwstr>
  </property>
</Properties>
</file>