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olor w:val="000000"/>
          <w:sz w:val="32"/>
          <w:szCs w:val="28"/>
          <w:highlight w:val="none"/>
          <w:lang w:val="en-US" w:eastAsia="zh-CN"/>
        </w:rPr>
      </w:pPr>
      <w:r>
        <w:rPr>
          <w:rFonts w:hint="eastAsia" w:ascii="宋体" w:hAnsi="宋体"/>
          <w:color w:val="000000"/>
          <w:sz w:val="32"/>
          <w:szCs w:val="28"/>
          <w:highlight w:val="none"/>
          <w:lang w:eastAsia="zh-CN"/>
        </w:rPr>
        <w:t>文件编号：</w:t>
      </w:r>
      <w:r>
        <w:rPr>
          <w:rFonts w:hint="default" w:ascii="Times New Roman" w:hAnsi="Times New Roman" w:eastAsia="仿宋" w:cs="Times New Roman"/>
          <w:color w:val="000000"/>
          <w:sz w:val="32"/>
          <w:szCs w:val="28"/>
          <w:highlight w:val="none"/>
          <w:lang w:val="en-US" w:eastAsia="zh-CN"/>
        </w:rPr>
        <w:t>SACSC-</w:t>
      </w:r>
      <w:r>
        <w:rPr>
          <w:rFonts w:hint="eastAsia" w:ascii="Times New Roman" w:hAnsi="Times New Roman" w:eastAsia="仿宋" w:cs="Times New Roman"/>
          <w:color w:val="000000"/>
          <w:sz w:val="32"/>
          <w:szCs w:val="28"/>
          <w:highlight w:val="none"/>
          <w:lang w:val="en-US" w:eastAsia="zh-CN"/>
        </w:rPr>
        <w:t>TP</w:t>
      </w:r>
      <w:r>
        <w:rPr>
          <w:rFonts w:hint="default" w:ascii="Times New Roman" w:hAnsi="Times New Roman" w:eastAsia="仿宋" w:cs="Times New Roman"/>
          <w:color w:val="000000"/>
          <w:sz w:val="32"/>
          <w:szCs w:val="28"/>
          <w:highlight w:val="none"/>
          <w:lang w:val="en-US" w:eastAsia="zh-CN"/>
        </w:rPr>
        <w:t>-</w:t>
      </w:r>
      <w:r>
        <w:rPr>
          <w:rFonts w:hint="eastAsia" w:ascii="Times New Roman" w:hAnsi="Times New Roman" w:eastAsia="仿宋" w:cs="Times New Roman"/>
          <w:color w:val="000000"/>
          <w:sz w:val="32"/>
          <w:szCs w:val="28"/>
          <w:highlight w:val="none"/>
          <w:lang w:val="en-US" w:eastAsia="zh-CN"/>
        </w:rPr>
        <w:t>S</w:t>
      </w:r>
      <w:r>
        <w:rPr>
          <w:rFonts w:hint="default" w:ascii="Times New Roman" w:hAnsi="Times New Roman" w:eastAsia="仿宋" w:cs="Times New Roman"/>
          <w:color w:val="000000"/>
          <w:sz w:val="32"/>
          <w:szCs w:val="28"/>
          <w:highlight w:val="none"/>
          <w:lang w:val="en-US" w:eastAsia="zh-CN"/>
        </w:rPr>
        <w:t>-20</w:t>
      </w:r>
      <w:r>
        <w:rPr>
          <w:rFonts w:hint="eastAsia" w:ascii="Times New Roman" w:hAnsi="Times New Roman" w:eastAsia="仿宋" w:cs="Times New Roman"/>
          <w:color w:val="000000"/>
          <w:sz w:val="32"/>
          <w:szCs w:val="28"/>
          <w:highlight w:val="none"/>
          <w:lang w:val="en-US" w:eastAsia="zh-CN"/>
        </w:rPr>
        <w:t>24008</w:t>
      </w:r>
    </w:p>
    <w:p>
      <w:pPr>
        <w:keepNext w:val="0"/>
        <w:keepLines w:val="0"/>
        <w:pageBreakBefore w:val="0"/>
        <w:kinsoku/>
        <w:overflowPunct/>
        <w:topLinePunct w:val="0"/>
        <w:bidi w:val="0"/>
        <w:spacing w:line="560" w:lineRule="exact"/>
        <w:ind w:firstLine="2240" w:firstLineChars="700"/>
        <w:textAlignment w:val="auto"/>
        <w:outlineLvl w:val="9"/>
        <w:rPr>
          <w:rFonts w:hint="default" w:ascii="宋体" w:hAnsi="宋体" w:eastAsia="宋体"/>
          <w:color w:val="000000"/>
          <w:sz w:val="32"/>
          <w:szCs w:val="28"/>
          <w:highlight w:val="none"/>
          <w:lang w:val="en-US" w:eastAsia="zh-CN"/>
        </w:rPr>
      </w:pPr>
      <w:r>
        <w:rPr>
          <w:rFonts w:hint="eastAsia" w:ascii="宋体" w:hAnsi="宋体"/>
          <w:color w:val="000000"/>
          <w:sz w:val="32"/>
          <w:szCs w:val="28"/>
          <w:highlight w:val="none"/>
        </w:rPr>
        <w:t>项目名称：</w:t>
      </w:r>
      <w:r>
        <w:rPr>
          <w:rFonts w:hint="eastAsia" w:ascii="宋体" w:hAnsi="宋体"/>
          <w:color w:val="000000"/>
          <w:sz w:val="32"/>
          <w:szCs w:val="28"/>
          <w:highlight w:val="none"/>
          <w:lang w:val="en-US" w:eastAsia="zh-CN"/>
        </w:rPr>
        <w:t>自动货架维护保养</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2024</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5</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22</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eastAsia="宋体"/>
          <w:b w:val="0"/>
          <w:bCs w:val="0"/>
          <w:sz w:val="24"/>
          <w:highlight w:val="none"/>
          <w:lang w:val="en-US" w:eastAsia="zh-CN"/>
        </w:rPr>
        <w:t>3</w:t>
      </w:r>
      <w:r>
        <w:rPr>
          <w:rFonts w:eastAsia="宋体"/>
          <w:b w:val="0"/>
          <w:bCs w:val="0"/>
          <w:sz w:val="24"/>
          <w:highlight w:val="none"/>
        </w:rPr>
        <w:fldChar w:fldCharType="end"/>
      </w: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eastAsia="宋体"/>
          <w:b w:val="0"/>
          <w:bCs w:val="0"/>
          <w:sz w:val="24"/>
          <w:highlight w:val="none"/>
          <w:lang w:val="en-US" w:eastAsia="zh-CN"/>
        </w:rPr>
        <w:t>6</w:t>
      </w:r>
      <w:r>
        <w:rPr>
          <w:rFonts w:eastAsia="宋体"/>
          <w:b w:val="0"/>
          <w:bCs w:val="0"/>
          <w:sz w:val="24"/>
          <w:highlight w:val="none"/>
        </w:rPr>
        <w:fldChar w:fldCharType="end"/>
      </w: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eastAsia="宋体"/>
          <w:b w:val="0"/>
          <w:bCs w:val="0"/>
          <w:sz w:val="24"/>
          <w:highlight w:val="none"/>
          <w:lang w:val="en-US" w:eastAsia="zh-CN"/>
        </w:rPr>
        <w:t>8</w:t>
      </w:r>
      <w:r>
        <w:rPr>
          <w:rFonts w:eastAsia="宋体"/>
          <w:b w:val="0"/>
          <w:bCs w:val="0"/>
          <w:sz w:val="24"/>
          <w:highlight w:val="none"/>
        </w:rPr>
        <w:fldChar w:fldCharType="end"/>
      </w: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bookmarkStart w:id="2" w:name="_Toc742_WPSOffice_Level1Page"/>
      <w:r>
        <w:rPr>
          <w:rFonts w:eastAsia="宋体"/>
          <w:b w:val="0"/>
          <w:bCs w:val="0"/>
          <w:sz w:val="24"/>
          <w:highlight w:val="none"/>
        </w:rPr>
        <w:t>1</w:t>
      </w:r>
      <w:bookmarkEnd w:id="2"/>
      <w:r>
        <w:rPr>
          <w:rFonts w:hint="eastAsia" w:eastAsia="宋体"/>
          <w:b w:val="0"/>
          <w:bCs w:val="0"/>
          <w:sz w:val="24"/>
          <w:highlight w:val="none"/>
          <w:lang w:val="en-US" w:eastAsia="zh-CN"/>
        </w:rPr>
        <w:t>1</w:t>
      </w:r>
      <w:r>
        <w:rPr>
          <w:rFonts w:eastAsia="宋体"/>
          <w:b w:val="0"/>
          <w:bCs w:val="0"/>
          <w:sz w:val="24"/>
          <w:highlight w:val="none"/>
        </w:rPr>
        <w:fldChar w:fldCharType="end"/>
      </w: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3" w:name="_Toc28157_WPSOffice_Level1Page"/>
      <w:r>
        <w:rPr>
          <w:rFonts w:eastAsia="宋体"/>
          <w:b w:val="0"/>
          <w:bCs w:val="0"/>
          <w:sz w:val="24"/>
          <w:highlight w:val="none"/>
        </w:rPr>
        <w:t>15</w:t>
      </w:r>
      <w:bookmarkEnd w:id="3"/>
      <w:r>
        <w:rPr>
          <w:rFonts w:eastAsia="宋体"/>
          <w:b w:val="0"/>
          <w:bCs w:val="0"/>
          <w:sz w:val="24"/>
          <w:highlight w:val="none"/>
        </w:rPr>
        <w:fldChar w:fldCharType="end"/>
      </w: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4" w:name="_Toc7733_WPSOffice_Level1Page"/>
      <w:r>
        <w:rPr>
          <w:rFonts w:eastAsia="宋体"/>
          <w:b w:val="0"/>
          <w:bCs w:val="0"/>
          <w:sz w:val="24"/>
          <w:highlight w:val="none"/>
        </w:rPr>
        <w:t>16</w:t>
      </w:r>
      <w:bookmarkEnd w:id="4"/>
      <w:r>
        <w:rPr>
          <w:rFonts w:eastAsia="宋体"/>
          <w:b w:val="0"/>
          <w:bCs w:val="0"/>
          <w:sz w:val="24"/>
          <w:highlight w:val="none"/>
        </w:rPr>
        <w:fldChar w:fldCharType="end"/>
      </w:r>
      <w:bookmarkEnd w:id="1"/>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6"/>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type w:val="continuous"/>
          <w:pgSz w:w="11906" w:h="16838"/>
          <w:pgMar w:top="1803" w:right="1440" w:bottom="1803" w:left="1440" w:header="851" w:footer="992" w:gutter="0"/>
          <w:pgBorders>
            <w:top w:val="none" w:sz="0" w:space="0"/>
            <w:left w:val="none" w:sz="0" w:space="0"/>
            <w:bottom w:val="none" w:sz="0" w:space="0"/>
            <w:right w:val="none" w:sz="0" w:space="0"/>
          </w:pgBorders>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5" w:name="_Toc10946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5"/>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w:t>
      </w:r>
      <w:r>
        <w:rPr>
          <w:rFonts w:hint="eastAsia" w:ascii="宋体" w:hAnsi="宋体"/>
          <w:sz w:val="28"/>
          <w:szCs w:val="28"/>
          <w:highlight w:val="none"/>
          <w:lang w:val="en-US" w:eastAsia="zh-CN"/>
        </w:rPr>
        <w:t>下简称“我司”或“甲方”</w:t>
      </w:r>
      <w:r>
        <w:rPr>
          <w:rFonts w:hint="eastAsia" w:ascii="宋体" w:hAnsi="宋体"/>
          <w:sz w:val="28"/>
          <w:szCs w:val="28"/>
          <w:highlight w:val="none"/>
          <w:lang w:eastAsia="zh-CN"/>
        </w:rPr>
        <w:t>）诚邀贵单位参加我单位</w:t>
      </w:r>
      <w:r>
        <w:rPr>
          <w:rFonts w:hint="eastAsia" w:ascii="宋体" w:hAnsi="宋体"/>
          <w:sz w:val="28"/>
          <w:szCs w:val="28"/>
          <w:highlight w:val="none"/>
          <w:u w:val="single"/>
          <w:lang w:val="en-US" w:eastAsia="zh-CN"/>
        </w:rPr>
        <w:t>自动货架维护保养</w:t>
      </w:r>
      <w:r>
        <w:rPr>
          <w:rFonts w:hint="eastAsia" w:ascii="宋体" w:hAnsi="宋体"/>
          <w:sz w:val="28"/>
          <w:szCs w:val="28"/>
          <w:highlight w:val="none"/>
          <w:lang w:eastAsia="zh-CN"/>
        </w:rPr>
        <w:t>项目的采购，项目具体情况如下：</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1.</w:t>
            </w:r>
            <w:r>
              <w:rPr>
                <w:rFonts w:hint="eastAsia" w:ascii="宋体" w:hAnsi="宋体"/>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服务名称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自动货架维护保养项目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服务概况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default" w:ascii="宋体" w:hAnsi="宋体"/>
                <w:sz w:val="24"/>
                <w:highlight w:val="yellow"/>
                <w:vertAlign w:val="baseline"/>
                <w:lang w:val="en-US" w:eastAsia="zh-CN"/>
              </w:rPr>
            </w:pPr>
            <w:r>
              <w:rPr>
                <w:rFonts w:hint="eastAsia" w:ascii="宋体" w:hAnsi="宋体"/>
                <w:sz w:val="24"/>
                <w:highlight w:val="none"/>
                <w:vertAlign w:val="baseline"/>
                <w:lang w:val="en-US" w:eastAsia="zh-CN"/>
              </w:rPr>
              <w:t>完成自动货架维护保养项目（</w:t>
            </w:r>
            <w:r>
              <w:rPr>
                <w:rFonts w:hint="eastAsia" w:ascii="宋体" w:hAnsi="宋体"/>
                <w:color w:val="auto"/>
                <w:sz w:val="24"/>
                <w:highlight w:val="none"/>
                <w:vertAlign w:val="baseline"/>
                <w:lang w:val="en-US" w:eastAsia="zh-CN"/>
              </w:rPr>
              <w:t>详见附件八：《技术要求》）</w:t>
            </w:r>
          </w:p>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default" w:ascii="宋体" w:hAnsi="宋体"/>
                <w:sz w:val="24"/>
                <w:highlight w:val="yellow"/>
                <w:vertAlign w:val="baseline"/>
                <w:lang w:val="en-US" w:eastAsia="zh-CN"/>
              </w:rPr>
            </w:pPr>
            <w:r>
              <w:rPr>
                <w:rFonts w:hint="eastAsia" w:ascii="宋体" w:hAnsi="宋体"/>
                <w:sz w:val="24"/>
                <w:highlight w:val="none"/>
                <w:vertAlign w:val="baseline"/>
                <w:lang w:val="en-US" w:eastAsia="zh-CN"/>
              </w:rPr>
              <w:t>服务地址：上海飞机客户服务有限公司（江川东路100号）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服务期限</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☑其他</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合同签订之日起三年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eastAsia" w:ascii="宋体" w:hAnsi="宋体" w:eastAsia="宋体"/>
                <w:b/>
                <w:bCs/>
                <w:sz w:val="24"/>
                <w:highlight w:val="none"/>
                <w:lang w:eastAsia="zh-CN"/>
              </w:rPr>
            </w:pPr>
            <w:r>
              <w:rPr>
                <w:rFonts w:hint="eastAsia" w:ascii="宋体" w:hAnsi="宋体"/>
                <w:b/>
                <w:bCs/>
                <w:sz w:val="24"/>
                <w:highlight w:val="none"/>
                <w:lang w:val="en-US" w:eastAsia="zh-CN"/>
              </w:rPr>
              <w:t>2.</w:t>
            </w:r>
            <w:r>
              <w:rPr>
                <w:rFonts w:hint="eastAsia" w:ascii="宋体" w:hAnsi="宋体"/>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rPr>
                <w:rFonts w:hint="eastAsia" w:ascii="宋体" w:hAnsi="宋体" w:eastAsia="宋体"/>
                <w:sz w:val="24"/>
                <w:highlight w:val="none"/>
                <w:lang w:val="en-US" w:eastAsia="zh-CN"/>
              </w:rPr>
            </w:pPr>
            <w:r>
              <w:rPr>
                <w:rFonts w:hint="eastAsia" w:ascii="宋体" w:hAnsi="宋体"/>
                <w:sz w:val="24"/>
                <w:highlight w:val="none"/>
              </w:rPr>
              <w:t>☑ 其他：</w:t>
            </w:r>
            <w:r>
              <w:rPr>
                <w:rFonts w:hint="eastAsia" w:ascii="宋体" w:hAnsi="宋体"/>
                <w:sz w:val="24"/>
                <w:highlight w:val="none"/>
                <w:u w:val="single"/>
              </w:rPr>
              <w:t>踏勘时间为2024年5月</w:t>
            </w:r>
            <w:r>
              <w:rPr>
                <w:rFonts w:hint="eastAsia" w:ascii="宋体" w:hAnsi="宋体"/>
                <w:sz w:val="24"/>
                <w:highlight w:val="none"/>
                <w:u w:val="single"/>
                <w:lang w:val="en-US" w:eastAsia="zh-CN"/>
              </w:rPr>
              <w:t>23</w:t>
            </w:r>
            <w:r>
              <w:rPr>
                <w:rFonts w:hint="eastAsia" w:ascii="宋体" w:hAnsi="宋体"/>
                <w:sz w:val="24"/>
                <w:highlight w:val="none"/>
                <w:u w:val="single"/>
              </w:rPr>
              <w:t>日下午</w:t>
            </w:r>
            <w:r>
              <w:rPr>
                <w:rFonts w:hint="eastAsia" w:ascii="宋体" w:hAnsi="宋体"/>
                <w:sz w:val="24"/>
                <w:highlight w:val="none"/>
                <w:u w:val="single"/>
                <w:lang w:val="en-US" w:eastAsia="zh-CN"/>
              </w:rPr>
              <w:t>14:00</w:t>
            </w:r>
            <w:r>
              <w:rPr>
                <w:rFonts w:hint="eastAsia" w:ascii="宋体" w:hAnsi="宋体"/>
                <w:sz w:val="24"/>
                <w:highlight w:val="none"/>
                <w:u w:val="single"/>
              </w:rPr>
              <w:t>，踏勘联系人</w:t>
            </w:r>
            <w:r>
              <w:rPr>
                <w:rFonts w:hint="eastAsia" w:ascii="宋体" w:hAnsi="宋体"/>
                <w:sz w:val="24"/>
                <w:highlight w:val="none"/>
                <w:u w:val="single"/>
                <w:lang w:val="en-US" w:eastAsia="zh-CN"/>
              </w:rPr>
              <w:t>刘</w:t>
            </w:r>
            <w:r>
              <w:rPr>
                <w:rFonts w:hint="eastAsia" w:ascii="宋体" w:hAnsi="宋体"/>
                <w:sz w:val="24"/>
                <w:highlight w:val="none"/>
                <w:u w:val="single"/>
              </w:rPr>
              <w:t>经理</w:t>
            </w:r>
            <w:r>
              <w:rPr>
                <w:rFonts w:hint="eastAsia" w:ascii="宋体" w:hAnsi="宋体"/>
                <w:sz w:val="24"/>
                <w:highlight w:val="none"/>
                <w:u w:val="single"/>
                <w:lang w:val="en-US" w:eastAsia="zh-CN"/>
              </w:rPr>
              <w:t>15900959895</w:t>
            </w:r>
            <w:bookmarkStart w:id="25" w:name="_GoBack"/>
            <w:bookmarkEnd w:id="25"/>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询问联系方式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 xml:space="preserve">联系人：  </w:t>
            </w:r>
            <w:r>
              <w:rPr>
                <w:rFonts w:hint="eastAsia" w:ascii="宋体" w:hAnsi="宋体" w:cs="Times New Roman"/>
                <w:sz w:val="24"/>
                <w:highlight w:val="none"/>
                <w:u w:val="single"/>
                <w:lang w:val="en-US" w:eastAsia="zh-CN"/>
              </w:rPr>
              <w:t>孔万里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联系电话：</w:t>
            </w:r>
            <w:r>
              <w:rPr>
                <w:rFonts w:hint="eastAsia" w:ascii="宋体" w:hAnsi="宋体" w:cs="Times New Roman"/>
                <w:sz w:val="24"/>
                <w:highlight w:val="none"/>
                <w:u w:val="single"/>
                <w:lang w:val="en-US" w:eastAsia="zh-CN"/>
              </w:rPr>
              <w:t>18019196725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联系地址：</w:t>
            </w:r>
            <w:r>
              <w:rPr>
                <w:rFonts w:hint="eastAsia" w:ascii="宋体" w:hAnsi="宋体" w:cs="Times New Roman"/>
                <w:sz w:val="24"/>
                <w:highlight w:val="none"/>
                <w:u w:val="single"/>
                <w:lang w:val="en-US" w:eastAsia="zh-CN"/>
              </w:rPr>
              <w:t>上海闵行江川东路100号</w:t>
            </w:r>
          </w:p>
          <w:p>
            <w:pPr>
              <w:autoSpaceDE w:val="0"/>
              <w:autoSpaceDN w:val="0"/>
              <w:adjustRightInd w:val="0"/>
              <w:ind w:left="224" w:leftChars="104" w:hanging="6" w:firstLineChars="0"/>
              <w:jc w:val="left"/>
              <w:rPr>
                <w:rFonts w:hint="eastAsia" w:ascii="宋体" w:hAnsi="宋体"/>
                <w:sz w:val="24"/>
                <w:highlight w:val="none"/>
                <w:lang w:val="en-US" w:eastAsia="zh-CN"/>
              </w:rPr>
            </w:pPr>
            <w:r>
              <w:rPr>
                <w:rFonts w:hint="eastAsia" w:ascii="宋体" w:hAnsi="宋体" w:cs="Times New Roman"/>
                <w:sz w:val="24"/>
                <w:highlight w:val="none"/>
                <w:lang w:val="en-US" w:eastAsia="zh-CN"/>
              </w:rPr>
              <w:t>联系邮箱：</w:t>
            </w:r>
            <w:r>
              <w:rPr>
                <w:rFonts w:hint="eastAsia" w:ascii="宋体" w:hAnsi="宋体" w:cs="Times New Roman"/>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3.</w:t>
            </w:r>
            <w:r>
              <w:rPr>
                <w:rFonts w:hint="eastAsia" w:ascii="宋体" w:hAnsi="宋体"/>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响应文件提交方式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val="en-US" w:eastAsia="zh-CN"/>
              </w:rPr>
              <w:t>联系人：</w:t>
            </w:r>
            <w:r>
              <w:rPr>
                <w:rFonts w:hint="eastAsia" w:ascii="宋体" w:hAnsi="宋体"/>
                <w:sz w:val="24"/>
                <w:highlight w:val="none"/>
                <w:u w:val="single"/>
                <w:lang w:val="en-US" w:eastAsia="zh-CN"/>
              </w:rPr>
              <w:t>孔万里</w:t>
            </w:r>
            <w:r>
              <w:rPr>
                <w:rFonts w:hint="eastAsia" w:ascii="宋体" w:hAnsi="宋体"/>
                <w:sz w:val="24"/>
                <w:highlight w:val="none"/>
                <w:lang w:val="en-US" w:eastAsia="zh-CN"/>
              </w:rPr>
              <w:t xml:space="preserve">    联系方式：</w:t>
            </w:r>
            <w:r>
              <w:rPr>
                <w:rFonts w:hint="eastAsia" w:ascii="宋体" w:hAnsi="宋体" w:cs="Times New Roman"/>
                <w:sz w:val="24"/>
                <w:highlight w:val="none"/>
                <w:u w:val="single"/>
                <w:lang w:val="en-US" w:eastAsia="zh-CN"/>
              </w:rPr>
              <w:t>18019196725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☑纸质邮寄</w:t>
            </w:r>
            <w:r>
              <w:rPr>
                <w:rFonts w:hint="eastAsia" w:ascii="宋体" w:hAnsi="宋体"/>
                <w:sz w:val="24"/>
                <w:highlight w:val="none"/>
                <w:lang w:val="en-US" w:eastAsia="zh-CN"/>
              </w:rPr>
              <w:t>/</w:t>
            </w:r>
            <w:r>
              <w:rPr>
                <w:rFonts w:hint="eastAsia" w:ascii="宋体" w:hAnsi="宋体"/>
                <w:sz w:val="24"/>
                <w:highlight w:val="none"/>
                <w:lang w:eastAsia="zh-CN"/>
              </w:rPr>
              <w:t>现场送达至</w:t>
            </w:r>
            <w:r>
              <w:rPr>
                <w:rFonts w:hint="eastAsia" w:ascii="宋体" w:hAnsi="宋体"/>
                <w:sz w:val="24"/>
                <w:highlight w:val="none"/>
                <w:lang w:val="en-US" w:eastAsia="zh-CN"/>
              </w:rPr>
              <w:t>：</w:t>
            </w:r>
            <w:r>
              <w:rPr>
                <w:rFonts w:hint="eastAsia" w:ascii="宋体" w:hAnsi="宋体"/>
                <w:sz w:val="24"/>
                <w:highlight w:val="none"/>
                <w:u w:val="single"/>
                <w:lang w:val="en-US" w:eastAsia="zh-CN"/>
              </w:rPr>
              <w:t>上海市闵行区江川东路100号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宋体" w:hAnsi="宋体"/>
                <w:sz w:val="24"/>
                <w:highlight w:val="none"/>
                <w:lang w:val="en-US" w:eastAsia="zh-CN"/>
              </w:rPr>
            </w:pPr>
            <w:r>
              <w:rPr>
                <w:rFonts w:hint="eastAsia" w:ascii="宋体" w:hAnsi="宋体"/>
                <w:sz w:val="24"/>
                <w:highlight w:val="none"/>
                <w:lang w:eastAsia="zh-CN"/>
              </w:rPr>
              <w:t>☑电子提交</w:t>
            </w:r>
            <w:r>
              <w:rPr>
                <w:rFonts w:hint="eastAsia" w:ascii="宋体" w:hAnsi="宋体"/>
                <w:sz w:val="24"/>
                <w:highlight w:val="none"/>
                <w:lang w:val="en-US" w:eastAsia="zh-CN"/>
              </w:rPr>
              <w:t>至：</w:t>
            </w:r>
            <w:r>
              <w:rPr>
                <w:rFonts w:hint="eastAsia" w:ascii="宋体" w:hAnsi="宋体"/>
                <w:sz w:val="24"/>
                <w:highlight w:val="none"/>
                <w:u w:val="single"/>
                <w:lang w:val="en-US" w:eastAsia="zh-CN"/>
              </w:rPr>
              <w:t>同纸质文件一起封装递交（U盘或光盘）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响应文件必须包含内容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eastAsia" w:ascii="宋体" w:hAnsi="宋体"/>
                <w:b/>
                <w:bCs/>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截止时间</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b/>
                <w:bCs/>
                <w:sz w:val="24"/>
                <w:highlight w:val="none"/>
                <w:u w:val="none"/>
                <w:lang w:val="en-US" w:eastAsia="zh-CN"/>
              </w:rPr>
              <w:t>2024年5月29日16：00时前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响应文件数量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rPr>
            </w:pPr>
            <w:r>
              <w:rPr>
                <w:rFonts w:hint="eastAsia" w:ascii="Times New Roman" w:hAnsi="Times New Roman"/>
                <w:sz w:val="24"/>
                <w:highlight w:val="none"/>
              </w:rPr>
              <w:t>需密封：纸质版 1 份，电子版（U盘或光盘） 1 份，</w:t>
            </w: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eastAsia="宋体"/>
                <w:sz w:val="24"/>
                <w:highlight w:val="none"/>
                <w:u w:val="none"/>
                <w:lang w:val="en-US" w:eastAsia="zh-CN"/>
              </w:rPr>
            </w:pPr>
            <w:r>
              <w:rPr>
                <w:rFonts w:hint="eastAsia" w:ascii="Times New Roman" w:hAnsi="Times New Roman"/>
                <w:sz w:val="24"/>
                <w:highlight w:val="none"/>
              </w:rPr>
              <w:t>所有文件装订成一册，</w:t>
            </w:r>
            <w:r>
              <w:rPr>
                <w:rFonts w:hint="eastAsia" w:ascii="Times New Roman" w:hAnsi="Times New Roman"/>
                <w:sz w:val="24"/>
                <w:highlight w:val="none"/>
                <w:lang w:val="en-US" w:eastAsia="zh-CN"/>
              </w:rPr>
              <w:t>文件内容含联系人手机及邮箱，</w:t>
            </w:r>
            <w:r>
              <w:rPr>
                <w:rFonts w:hint="eastAsia" w:ascii="Times New Roman" w:hAnsi="Times New Roman"/>
                <w:sz w:val="24"/>
                <w:highlight w:val="none"/>
              </w:rPr>
              <w:t>电子版集成为一个pdf扫描件（盖章版</w:t>
            </w:r>
            <w:r>
              <w:rPr>
                <w:rFonts w:hint="eastAsia" w:ascii="Times New Roman" w:hAnsi="Times New Roman"/>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响应文件有效期</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eastAsia" w:ascii="宋体" w:hAnsi="宋体"/>
                <w:sz w:val="24"/>
                <w:highlight w:val="none"/>
              </w:rPr>
            </w:pPr>
            <w:r>
              <w:rPr>
                <w:rFonts w:hint="eastAsia" w:ascii="宋体" w:hAnsi="宋体"/>
                <w:b w:val="0"/>
                <w:bCs w:val="0"/>
                <w:sz w:val="24"/>
                <w:highlight w:val="none"/>
                <w:u w:val="none"/>
                <w:lang w:val="en-US" w:eastAsia="zh-CN"/>
              </w:rPr>
              <w:t>自递交响应文件之日起</w:t>
            </w:r>
            <w:r>
              <w:rPr>
                <w:rFonts w:hint="eastAsia" w:ascii="宋体" w:hAnsi="宋体"/>
                <w:b w:val="0"/>
                <w:bCs w:val="0"/>
                <w:sz w:val="24"/>
                <w:highlight w:val="none"/>
                <w:u w:val="single"/>
                <w:lang w:val="en-US" w:eastAsia="zh-CN"/>
              </w:rPr>
              <w:t xml:space="preserve"> 180 </w:t>
            </w:r>
            <w:r>
              <w:rPr>
                <w:rFonts w:hint="eastAsia" w:ascii="宋体" w:hAnsi="宋体"/>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eastAsia" w:ascii="宋体" w:hAnsi="宋体"/>
                <w:b w:val="0"/>
                <w:bCs w:val="0"/>
                <w:sz w:val="24"/>
                <w:highlight w:val="none"/>
                <w:u w:val="none"/>
                <w:lang w:val="en-US" w:eastAsia="zh-CN"/>
              </w:rPr>
            </w:pPr>
            <w:r>
              <w:rPr>
                <w:rFonts w:hint="eastAsia" w:ascii="宋体" w:hAnsi="宋体"/>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评判标准</w:t>
            </w:r>
          </w:p>
        </w:tc>
        <w:tc>
          <w:tcPr>
            <w:tcW w:w="684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eastAsia" w:ascii="Times New Roman" w:hAnsi="Times New Roman" w:eastAsia="宋体"/>
                <w:sz w:val="24"/>
                <w:highlight w:val="none"/>
                <w:lang w:eastAsia="zh-CN"/>
              </w:rPr>
            </w:pPr>
            <w:r>
              <w:rPr>
                <w:rFonts w:ascii="Times New Roman" w:hAnsi="Times New Roman"/>
                <w:sz w:val="24"/>
                <w:highlight w:val="none"/>
              </w:rPr>
              <w:t>如</w:t>
            </w:r>
            <w:r>
              <w:rPr>
                <w:rFonts w:hint="eastAsia" w:ascii="Times New Roman" w:hAnsi="Times New Roman"/>
                <w:sz w:val="24"/>
                <w:highlight w:val="none"/>
                <w:lang w:eastAsia="zh-CN"/>
              </w:rPr>
              <w:t>响应</w:t>
            </w:r>
            <w:r>
              <w:rPr>
                <w:rFonts w:ascii="Times New Roman" w:hAnsi="Times New Roman"/>
                <w:sz w:val="24"/>
                <w:highlight w:val="none"/>
              </w:rPr>
              <w:t>文件中出现报价且前后不一致的</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以分项价格表分项报价为准，修正总价</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报价漏项</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默认为免费提供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非“*”号项条款不响应</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如响应文件中对</w:t>
            </w:r>
            <w:r>
              <w:rPr>
                <w:rFonts w:hint="eastAsia" w:ascii="宋体" w:hAnsi="宋体"/>
                <w:sz w:val="24"/>
                <w:highlight w:val="none"/>
                <w:vertAlign w:val="baseline"/>
                <w:lang w:val="en-US" w:eastAsia="zh-CN"/>
              </w:rPr>
              <w:t>非“*”号项条款不响应：</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超过</w:t>
            </w:r>
            <w:r>
              <w:rPr>
                <w:rFonts w:hint="eastAsia" w:ascii="宋体" w:hAnsi="宋体"/>
                <w:sz w:val="24"/>
                <w:highlight w:val="none"/>
                <w:lang w:val="en-US" w:eastAsia="zh-CN"/>
              </w:rPr>
              <w:t>____条不响应，废标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每不响应</w:t>
            </w:r>
            <w:r>
              <w:rPr>
                <w:rFonts w:hint="eastAsia" w:ascii="宋体" w:hAnsi="宋体"/>
                <w:sz w:val="24"/>
                <w:highlight w:val="none"/>
                <w:lang w:val="en-US" w:eastAsia="zh-CN"/>
              </w:rPr>
              <w:t>1条非</w:t>
            </w:r>
            <w:r>
              <w:rPr>
                <w:rFonts w:hint="eastAsia" w:ascii="宋体" w:hAnsi="宋体"/>
                <w:sz w:val="24"/>
                <w:highlight w:val="none"/>
                <w:vertAlign w:val="baseline"/>
                <w:lang w:val="en-US" w:eastAsia="zh-CN"/>
              </w:rPr>
              <w:t>“*”号项条款，评审价格上调</w:t>
            </w:r>
            <w:r>
              <w:rPr>
                <w:rFonts w:hint="eastAsia" w:ascii="宋体" w:hAnsi="宋体"/>
                <w:sz w:val="24"/>
                <w:highlight w:val="none"/>
                <w:u w:val="single"/>
                <w:vertAlign w:val="baseline"/>
                <w:lang w:val="en-US" w:eastAsia="zh-CN"/>
              </w:rPr>
              <w:t>10</w:t>
            </w:r>
            <w:r>
              <w:rPr>
                <w:rFonts w:hint="eastAsia" w:ascii="宋体" w:hAnsi="宋体"/>
                <w:sz w:val="24"/>
                <w:highlight w:val="none"/>
                <w:vertAlign w:val="baseline"/>
                <w:lang w:val="en-US" w:eastAsia="zh-CN"/>
              </w:rPr>
              <w:t>%（即1条不响应上调10%，2条不响应上调20%，以此递增）</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8" w:name="_Hlk27473954"/>
    </w:p>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eastAsia="宋体"/>
          <w:sz w:val="24"/>
          <w:highlight w:val="none"/>
          <w:lang w:val="en-US" w:eastAsia="zh-CN"/>
        </w:rPr>
      </w:pPr>
      <w:r>
        <w:rPr>
          <w:rFonts w:hint="eastAsia" w:ascii="宋体" w:hAnsi="宋体"/>
          <w:sz w:val="24"/>
          <w:highlight w:val="none"/>
        </w:rPr>
        <w:t>采购人：</w:t>
      </w:r>
      <w:r>
        <w:rPr>
          <w:rFonts w:hint="eastAsia" w:ascii="宋体" w:hAnsi="宋体"/>
          <w:sz w:val="24"/>
          <w:highlight w:val="none"/>
          <w:lang w:eastAsia="zh-CN"/>
        </w:rPr>
        <w:t>上海飞机客户服务有限公司</w:t>
      </w:r>
    </w:p>
    <w:bookmarkEnd w:id="6"/>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7"/>
      <w:bookmarkEnd w:id="8"/>
      <w:bookmarkStart w:id="9"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ascii="Times New Roman" w:hAnsi="Times New Roman"/>
          <w:sz w:val="24"/>
          <w:highlight w:val="none"/>
          <w:lang w:eastAsia="zh-CN"/>
        </w:rPr>
        <w:t>技术要求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ascii="Times New Roman" w:hAnsi="Times New Roman"/>
          <w:sz w:val="24"/>
          <w:highlight w:val="none"/>
          <w:lang w:val="en-US" w:eastAsia="zh-CN"/>
        </w:rPr>
        <w:t>纸质版</w:t>
      </w:r>
      <w:r>
        <w:rPr>
          <w:rFonts w:hint="eastAsia" w:ascii="Times New Roman" w:hAnsi="Times New Roman"/>
          <w:sz w:val="24"/>
          <w:highlight w:val="none"/>
          <w:lang w:eastAsia="zh-CN"/>
        </w:rPr>
        <w:t>本应打印或用不褪色墨水书写，不得有任何修改。提供的电子版本应为响应文件正本的扫描件（红章）。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客服公司组建供应商选择工作小组组织开标（响应单位无需到场）。</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供应商选择工作小组按照竞争性谈判文件要求开展评审，评审过程中，供应商选择工作小组可与受邀供应商开展谈判，谈判后供应商应提交最终版的响应文件及报价。</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val="en-US" w:eastAsia="zh-CN"/>
        </w:rPr>
        <w:t>供应商选择工作小组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10" w:name="_Hlk11752017"/>
      <w:bookmarkStart w:id="11"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2"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2"/>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3"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客服公司组建的供应商选择工作小组负责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2"/>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b/>
                <w:bCs/>
                <w:szCs w:val="21"/>
                <w:highlight w:val="none"/>
              </w:rPr>
            </w:pPr>
            <w:r>
              <w:rPr>
                <w:rFonts w:hint="eastAsia" w:ascii="宋体" w:hAnsi="宋体"/>
                <w:b/>
                <w:bCs/>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b/>
                <w:bCs/>
                <w:szCs w:val="21"/>
                <w:highlight w:val="none"/>
              </w:rPr>
            </w:pPr>
            <w:r>
              <w:rPr>
                <w:rFonts w:hint="eastAsia" w:ascii="宋体" w:hAnsi="宋体"/>
                <w:b/>
                <w:bCs/>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b/>
                <w:bCs/>
                <w:szCs w:val="21"/>
                <w:highlight w:val="none"/>
                <w:lang w:eastAsia="zh-CN"/>
              </w:rPr>
            </w:pPr>
            <w:r>
              <w:rPr>
                <w:rFonts w:hint="eastAsia" w:ascii="宋体" w:hAnsi="宋体"/>
                <w:b/>
                <w:bCs/>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b/>
                <w:bCs/>
                <w:szCs w:val="21"/>
                <w:highlight w:val="none"/>
              </w:rPr>
            </w:pPr>
            <w:r>
              <w:rPr>
                <w:rFonts w:hint="eastAsia" w:ascii="宋体" w:hAnsi="宋体"/>
                <w:b/>
                <w:bCs/>
                <w:szCs w:val="21"/>
                <w:highlight w:val="none"/>
              </w:rPr>
              <w:t>不</w:t>
            </w:r>
            <w:r>
              <w:rPr>
                <w:rFonts w:hint="eastAsia" w:ascii="宋体" w:hAnsi="宋体"/>
                <w:b/>
                <w:bCs/>
                <w:szCs w:val="21"/>
                <w:highlight w:val="none"/>
                <w:lang w:eastAsia="zh-CN"/>
              </w:rPr>
              <w:t>响应</w:t>
            </w:r>
            <w:r>
              <w:rPr>
                <w:rFonts w:hint="eastAsia" w:ascii="宋体" w:hAnsi="宋体"/>
                <w:b/>
                <w:bCs/>
                <w:szCs w:val="21"/>
                <w:highlight w:val="none"/>
              </w:rPr>
              <w:t>竞争性谈判文件</w:t>
            </w:r>
            <w:r>
              <w:rPr>
                <w:rFonts w:hint="eastAsia" w:ascii="宋体" w:hAnsi="宋体"/>
                <w:b/>
                <w:bCs/>
                <w:szCs w:val="21"/>
                <w:highlight w:val="none"/>
                <w:lang w:eastAsia="zh-CN"/>
              </w:rPr>
              <w:t>“</w:t>
            </w:r>
            <w:r>
              <w:rPr>
                <w:rFonts w:hint="eastAsia" w:ascii="宋体" w:hAnsi="宋体"/>
                <w:b/>
                <w:bCs/>
                <w:szCs w:val="21"/>
                <w:highlight w:val="none"/>
                <w:lang w:val="en-US" w:eastAsia="zh-CN"/>
              </w:rPr>
              <w:t>*</w:t>
            </w:r>
            <w:r>
              <w:rPr>
                <w:rFonts w:hint="eastAsia" w:ascii="宋体" w:hAnsi="宋体"/>
                <w:b/>
                <w:bCs/>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b/>
                <w:bCs/>
                <w:szCs w:val="21"/>
                <w:highlight w:val="none"/>
              </w:rPr>
            </w:pPr>
            <w:r>
              <w:rPr>
                <w:rFonts w:hint="eastAsia" w:ascii="宋体" w:hAnsi="宋体"/>
                <w:b/>
                <w:bCs/>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b/>
                <w:bCs/>
                <w:szCs w:val="21"/>
                <w:highlight w:val="none"/>
              </w:rPr>
            </w:pPr>
            <w:r>
              <w:rPr>
                <w:rFonts w:hint="eastAsia" w:ascii="宋体" w:hAnsi="宋体"/>
                <w:b/>
                <w:bCs/>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b/>
                <w:bCs/>
                <w:szCs w:val="21"/>
                <w:highlight w:val="none"/>
              </w:rPr>
            </w:pPr>
            <w:r>
              <w:rPr>
                <w:rFonts w:hint="eastAsia" w:ascii="宋体" w:hAnsi="宋体"/>
                <w:b/>
                <w:bCs/>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rPr>
              <w:t>未按竞争性谈判文件要求</w:t>
            </w:r>
            <w:r>
              <w:rPr>
                <w:rFonts w:hint="eastAsia" w:ascii="宋体" w:hAnsi="宋体"/>
                <w:b/>
                <w:bCs/>
                <w:szCs w:val="21"/>
                <w:highlight w:val="none"/>
                <w:lang w:eastAsia="zh-CN"/>
              </w:rPr>
              <w:t>签署或</w:t>
            </w:r>
            <w:r>
              <w:rPr>
                <w:rFonts w:hint="eastAsia" w:ascii="宋体" w:hAnsi="宋体"/>
                <w:b/>
                <w:bCs/>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rPr>
              <w:t>递交两份或多份内容不同的</w:t>
            </w:r>
            <w:r>
              <w:rPr>
                <w:rFonts w:hint="eastAsia" w:ascii="宋体" w:hAnsi="宋体"/>
                <w:b/>
                <w:bCs/>
                <w:szCs w:val="21"/>
                <w:highlight w:val="none"/>
                <w:lang w:eastAsia="zh-CN"/>
              </w:rPr>
              <w:t>响应文件</w:t>
            </w:r>
            <w:r>
              <w:rPr>
                <w:rFonts w:hint="eastAsia" w:ascii="宋体" w:hAnsi="宋体"/>
                <w:b/>
                <w:bCs/>
                <w:szCs w:val="21"/>
                <w:highlight w:val="none"/>
              </w:rPr>
              <w:t>，或在一份</w:t>
            </w:r>
            <w:r>
              <w:rPr>
                <w:rFonts w:hint="eastAsia" w:ascii="宋体" w:hAnsi="宋体"/>
                <w:b/>
                <w:bCs/>
                <w:szCs w:val="21"/>
                <w:highlight w:val="none"/>
                <w:lang w:eastAsia="zh-CN"/>
              </w:rPr>
              <w:t>响应文件</w:t>
            </w:r>
            <w:r>
              <w:rPr>
                <w:rFonts w:hint="eastAsia" w:ascii="宋体" w:hAnsi="宋体"/>
                <w:b/>
                <w:bCs/>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b/>
                <w:bCs/>
                <w:szCs w:val="21"/>
                <w:highlight w:val="none"/>
              </w:rPr>
            </w:pPr>
            <w:r>
              <w:rPr>
                <w:rFonts w:hint="eastAsia" w:ascii="宋体" w:hAnsi="宋体"/>
                <w:b/>
                <w:bCs/>
                <w:szCs w:val="21"/>
                <w:highlight w:val="none"/>
                <w:lang w:eastAsia="zh-CN"/>
              </w:rPr>
              <w:t>响应文件</w:t>
            </w:r>
            <w:r>
              <w:rPr>
                <w:rFonts w:hint="eastAsia" w:ascii="宋体" w:hAnsi="宋体"/>
                <w:b/>
                <w:bCs/>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lang w:eastAsia="zh-CN"/>
              </w:rPr>
              <w:t>服务期限</w:t>
            </w:r>
            <w:r>
              <w:rPr>
                <w:rFonts w:hint="eastAsia" w:ascii="宋体" w:hAnsi="宋体"/>
                <w:b/>
                <w:bCs/>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b/>
                <w:bCs/>
                <w:szCs w:val="21"/>
                <w:highlight w:val="none"/>
              </w:rPr>
            </w:pPr>
            <w:r>
              <w:rPr>
                <w:rFonts w:hint="eastAsia" w:ascii="宋体" w:hAnsi="宋体"/>
                <w:b/>
                <w:bCs/>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b/>
                <w:bCs/>
                <w:szCs w:val="21"/>
                <w:highlight w:val="none"/>
                <w:lang w:eastAsia="zh-CN"/>
              </w:rPr>
            </w:pPr>
            <w:r>
              <w:rPr>
                <w:rFonts w:hint="eastAsia" w:ascii="宋体" w:hAnsi="宋体"/>
                <w:b/>
                <w:bCs/>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b/>
                <w:bCs/>
                <w:szCs w:val="21"/>
                <w:highlight w:val="none"/>
                <w:lang w:eastAsia="zh-CN"/>
              </w:rPr>
            </w:pPr>
            <w:r>
              <w:rPr>
                <w:rFonts w:hint="eastAsia" w:ascii="宋体" w:hAnsi="宋体"/>
                <w:b/>
                <w:bCs/>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3"/>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供应商选择工作小组通过符合性评审的响应单位的最终报价进行确认，经过谈判后有提供最后报价的，以最后报价为准。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如响应文件中报价有错误，供应商选择工作小组将对价格进行调整，调整原则如下：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确认评审价格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供应商选择工作小组认定通过符合性评审的、经过价格调整的响应单位的最终价格为评审价格，经过谈判后有提供最后报价的，以最后报价为评审价格。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供应商选择工作小组根据评审价格，按价格由低到高推荐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当出现2家以上的评审价格相同时，由供应商选择工作小组通过讨论确定排序。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w:t>
      </w:r>
      <w:r>
        <w:rPr>
          <w:rFonts w:hint="eastAsia"/>
          <w:sz w:val="24"/>
          <w:highlight w:val="none"/>
          <w:lang w:eastAsia="zh-CN"/>
        </w:rPr>
        <w:t>评审价格</w:t>
      </w:r>
      <w:r>
        <w:rPr>
          <w:rFonts w:hint="eastAsia"/>
          <w:sz w:val="24"/>
          <w:highlight w:val="none"/>
        </w:rPr>
        <w:t>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，则可推荐为成交候选人。其余情况，供应商选择工作小组应当认为本项目竞争性不足，不推荐成交候选人。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当供应商选择工作小组认为所有评审价格均较高时，可以不推荐成交候选人。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当最低评审价格低于其他有效响应单位的评审价格算术平均数的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时，供应商选择工作小组应当要求该供应商作出书面说明并提供相关证明材料。该供应商不能合理说明或不能提供相关证明材料的，视作该响应报价无效。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供应商选择工作小组根据成交候选人名单，确定排名第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宋体" w:hAnsi="宋体"/>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4"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4"/>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u w:val="single"/>
          <w:lang w:eastAsia="zh-CN"/>
        </w:rPr>
        <w:t>☑</w:t>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营业执照</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应提供最新年检的企业法人营业执照、组织机构代码证、税务登记证及其他相应资质文件。（若三证合一，只需提供企业法人营业执照）</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注册资金</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响应单位注册资金不低于</w:t>
            </w:r>
            <w:r>
              <w:rPr>
                <w:rFonts w:hint="eastAsia" w:ascii="宋体" w:hAnsi="宋体"/>
                <w:b w:val="0"/>
                <w:bCs w:val="0"/>
                <w:sz w:val="24"/>
                <w:highlight w:val="none"/>
                <w:u w:val="single"/>
                <w:lang w:val="en-US" w:eastAsia="zh-CN"/>
              </w:rPr>
              <w:t xml:space="preserve">  500 </w:t>
            </w:r>
            <w:r>
              <w:rPr>
                <w:rFonts w:hint="eastAsia" w:ascii="宋体" w:hAnsi="宋体"/>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财务状况</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宋体" w:hAnsi="宋体" w:cs="Times New Roman"/>
                <w:sz w:val="24"/>
                <w:highlight w:val="none"/>
                <w:lang w:val="en-US" w:eastAsia="zh-CN"/>
              </w:rPr>
            </w:pPr>
            <w:r>
              <w:rPr>
                <w:rFonts w:hint="eastAsia" w:ascii="宋体" w:hAnsi="宋体"/>
                <w:sz w:val="24"/>
                <w:highlight w:val="none"/>
                <w:lang w:eastAsia="zh-CN"/>
              </w:rPr>
              <w:t>☑</w:t>
            </w:r>
            <w:r>
              <w:rPr>
                <w:rFonts w:hint="eastAsia" w:ascii="宋体" w:hAnsi="宋体" w:cs="Times New Roman"/>
                <w:sz w:val="24"/>
                <w:highlight w:val="none"/>
              </w:rPr>
              <w:t>提供近</w:t>
            </w:r>
            <w:r>
              <w:rPr>
                <w:rFonts w:hint="eastAsia" w:ascii="宋体" w:hAnsi="宋体" w:cs="Times New Roman"/>
                <w:sz w:val="24"/>
                <w:highlight w:val="none"/>
                <w:u w:val="single"/>
                <w:lang w:val="en-US" w:eastAsia="zh-CN"/>
              </w:rPr>
              <w:t xml:space="preserve"> 3 </w:t>
            </w:r>
            <w:r>
              <w:rPr>
                <w:rFonts w:hint="eastAsia" w:ascii="宋体" w:hAnsi="宋体" w:cs="Times New Roman"/>
                <w:sz w:val="24"/>
                <w:highlight w:val="none"/>
              </w:rPr>
              <w:t>年</w:t>
            </w:r>
            <w:r>
              <w:rPr>
                <w:rFonts w:hint="default" w:ascii="Times New Roman" w:hAnsi="Times New Roman" w:cs="Times New Roman"/>
                <w:sz w:val="24"/>
                <w:highlight w:val="none"/>
              </w:rPr>
              <w:t>（</w:t>
            </w:r>
            <w:r>
              <w:rPr>
                <w:rFonts w:hint="eastAsia" w:ascii="宋体" w:hAnsi="宋体" w:cs="Times New Roman"/>
                <w:sz w:val="24"/>
                <w:highlight w:val="none"/>
                <w:u w:val="single"/>
                <w:lang w:val="en-US" w:eastAsia="zh-CN"/>
              </w:rPr>
              <w:t>2021</w:t>
            </w:r>
            <w:r>
              <w:rPr>
                <w:rFonts w:hint="default" w:ascii="Times New Roman" w:hAnsi="Times New Roman" w:cs="Times New Roman"/>
                <w:sz w:val="24"/>
                <w:highlight w:val="none"/>
              </w:rPr>
              <w:t>年~</w:t>
            </w:r>
            <w:r>
              <w:rPr>
                <w:rFonts w:hint="eastAsia" w:ascii="宋体" w:hAnsi="宋体" w:cs="Times New Roman"/>
                <w:sz w:val="24"/>
                <w:highlight w:val="none"/>
                <w:u w:val="single"/>
                <w:lang w:val="en-US" w:eastAsia="zh-CN"/>
              </w:rPr>
              <w:t xml:space="preserve"> 2023</w:t>
            </w:r>
            <w:r>
              <w:rPr>
                <w:rFonts w:hint="default" w:ascii="Times New Roman" w:hAnsi="Times New Roman" w:cs="Times New Roman"/>
                <w:sz w:val="24"/>
                <w:highlight w:val="none"/>
              </w:rPr>
              <w:t>年）</w:t>
            </w:r>
            <w:r>
              <w:rPr>
                <w:rFonts w:hint="eastAsia" w:ascii="宋体" w:hAnsi="宋体" w:cs="Times New Roman"/>
                <w:sz w:val="24"/>
                <w:highlight w:val="none"/>
              </w:rPr>
              <w:t>的财务报表，包括资产负债表、利润表及现金流量表</w:t>
            </w:r>
            <w:r>
              <w:rPr>
                <w:rFonts w:hint="eastAsia" w:ascii="宋体" w:hAnsi="宋体" w:cs="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eastAsia="宋体"/>
                <w:sz w:val="24"/>
                <w:highlight w:val="none"/>
                <w:vertAlign w:val="baseline"/>
                <w:lang w:eastAsia="zh-CN"/>
              </w:rPr>
              <w:t>业绩要求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 xml:space="preserve"> 2021 </w:t>
            </w:r>
            <w:r>
              <w:rPr>
                <w:rFonts w:ascii="Times New Roman" w:hAnsi="Times New Roman"/>
                <w:sz w:val="24"/>
                <w:highlight w:val="none"/>
              </w:rPr>
              <w:t>年~</w:t>
            </w:r>
            <w:r>
              <w:rPr>
                <w:rFonts w:hint="eastAsia" w:ascii="宋体" w:hAnsi="宋体"/>
                <w:sz w:val="24"/>
                <w:highlight w:val="none"/>
                <w:u w:val="single"/>
                <w:lang w:val="en-US" w:eastAsia="zh-CN"/>
              </w:rPr>
              <w:t xml:space="preserve"> 2023 </w:t>
            </w:r>
            <w:r>
              <w:rPr>
                <w:rFonts w:ascii="Times New Roman" w:hAnsi="Times New Roman"/>
                <w:sz w:val="24"/>
                <w:highlight w:val="none"/>
              </w:rPr>
              <w:t>年</w:t>
            </w:r>
            <w:r>
              <w:rPr>
                <w:rFonts w:hint="eastAsia" w:ascii="Times New Roman" w:hAnsi="Times New Roman"/>
                <w:sz w:val="24"/>
                <w:highlight w:val="none"/>
                <w:lang w:val="en-US" w:eastAsia="zh-CN"/>
              </w:rPr>
              <w:t>签订</w:t>
            </w:r>
            <w:r>
              <w:rPr>
                <w:rFonts w:ascii="Times New Roman" w:hAnsi="Times New Roman"/>
                <w:sz w:val="24"/>
                <w:highlight w:val="none"/>
              </w:rPr>
              <w:t>）应有</w:t>
            </w:r>
            <w:r>
              <w:rPr>
                <w:rFonts w:hint="eastAsia" w:ascii="Times New Roman" w:hAnsi="Times New Roman"/>
                <w:sz w:val="24"/>
                <w:highlight w:val="none"/>
                <w:lang w:eastAsia="zh-CN"/>
              </w:rPr>
              <w:t>不低于</w:t>
            </w:r>
            <w:r>
              <w:rPr>
                <w:rFonts w:hint="eastAsia" w:ascii="宋体" w:hAnsi="宋体"/>
                <w:sz w:val="24"/>
                <w:highlight w:val="none"/>
                <w:u w:val="single"/>
                <w:lang w:val="en-US" w:eastAsia="zh-CN"/>
              </w:rPr>
              <w:t xml:space="preserve"> 3   </w:t>
            </w:r>
            <w:r>
              <w:rPr>
                <w:rFonts w:hint="eastAsia" w:ascii="宋体" w:hAnsi="宋体"/>
                <w:b w:val="0"/>
                <w:bCs w:val="0"/>
                <w:sz w:val="24"/>
                <w:highlight w:val="none"/>
                <w:u w:val="none"/>
                <w:lang w:val="en-US" w:eastAsia="zh-CN"/>
              </w:rPr>
              <w:t>份与</w:t>
            </w:r>
            <w:r>
              <w:rPr>
                <w:rFonts w:ascii="Times New Roman" w:hAnsi="Times New Roman"/>
                <w:sz w:val="24"/>
                <w:highlight w:val="none"/>
              </w:rPr>
              <w:t>本次</w:t>
            </w:r>
            <w:r>
              <w:rPr>
                <w:rFonts w:hint="eastAsia" w:ascii="Times New Roman" w:hAnsi="Times New Roman"/>
                <w:sz w:val="24"/>
                <w:highlight w:val="none"/>
                <w:lang w:eastAsia="zh-CN"/>
              </w:rPr>
              <w:t>采购</w:t>
            </w:r>
            <w:r>
              <w:rPr>
                <w:rFonts w:hint="eastAsia" w:ascii="Times New Roman" w:hAnsi="Times New Roman"/>
                <w:sz w:val="24"/>
                <w:highlight w:val="none"/>
                <w:lang w:val="en-US" w:eastAsia="zh-CN"/>
              </w:rPr>
              <w:t>服务</w:t>
            </w:r>
            <w:r>
              <w:rPr>
                <w:rFonts w:ascii="Times New Roman" w:hAnsi="Times New Roman"/>
                <w:sz w:val="24"/>
                <w:highlight w:val="none"/>
              </w:rPr>
              <w:t>相同或类似</w:t>
            </w:r>
            <w:r>
              <w:rPr>
                <w:rFonts w:hint="eastAsia" w:ascii="Times New Roman" w:hAnsi="Times New Roman"/>
                <w:sz w:val="24"/>
                <w:highlight w:val="none"/>
                <w:lang w:val="en-US" w:eastAsia="zh-CN"/>
              </w:rPr>
              <w:t>的</w:t>
            </w:r>
            <w:r>
              <w:rPr>
                <w:rFonts w:ascii="Times New Roman" w:hAnsi="Times New Roman"/>
                <w:sz w:val="24"/>
                <w:highlight w:val="none"/>
              </w:rPr>
              <w:t>业绩，提供</w:t>
            </w:r>
            <w:r>
              <w:rPr>
                <w:rFonts w:hint="eastAsia" w:ascii="Times New Roman" w:hAnsi="Times New Roman"/>
                <w:sz w:val="24"/>
                <w:highlight w:val="none"/>
                <w:lang w:val="en-US" w:eastAsia="zh-CN"/>
              </w:rPr>
              <w:t>相关业绩文件</w:t>
            </w:r>
            <w:r>
              <w:rPr>
                <w:rFonts w:ascii="Times New Roman" w:hAnsi="Times New Roman"/>
                <w:sz w:val="24"/>
                <w:highlight w:val="none"/>
              </w:rPr>
              <w:t>复印件作为证明材料（</w:t>
            </w:r>
            <w:r>
              <w:rPr>
                <w:rFonts w:hint="eastAsia" w:ascii="Times New Roman" w:hAnsi="Times New Roman"/>
                <w:sz w:val="24"/>
                <w:highlight w:val="none"/>
                <w:lang w:val="en-US" w:eastAsia="zh-CN"/>
              </w:rPr>
              <w:t>相关业绩文件</w:t>
            </w:r>
            <w:r>
              <w:rPr>
                <w:rFonts w:ascii="Times New Roman" w:hAnsi="Times New Roman"/>
                <w:sz w:val="24"/>
                <w:highlight w:val="none"/>
              </w:rPr>
              <w:t>复印件须能认定</w:t>
            </w:r>
            <w:r>
              <w:rPr>
                <w:rFonts w:hint="eastAsia" w:ascii="Times New Roman" w:hAnsi="Times New Roman"/>
                <w:sz w:val="24"/>
                <w:highlight w:val="none"/>
                <w:lang w:eastAsia="zh-CN"/>
              </w:rPr>
              <w:t>金额、</w:t>
            </w:r>
            <w:r>
              <w:rPr>
                <w:rFonts w:ascii="Times New Roman" w:hAnsi="Times New Roman"/>
                <w:sz w:val="24"/>
                <w:highlight w:val="none"/>
              </w:rPr>
              <w:t>签署日期、</w:t>
            </w:r>
            <w:r>
              <w:rPr>
                <w:rFonts w:hint="eastAsia" w:ascii="Times New Roman" w:hAnsi="Times New Roman"/>
                <w:sz w:val="24"/>
                <w:highlight w:val="none"/>
                <w:lang w:val="en-US" w:eastAsia="zh-CN"/>
              </w:rPr>
              <w:t>服务</w:t>
            </w:r>
            <w:r>
              <w:rPr>
                <w:rFonts w:ascii="Times New Roman" w:hAnsi="Times New Roman"/>
                <w:sz w:val="24"/>
                <w:highlight w:val="none"/>
              </w:rPr>
              <w:t>内容、签订方，否则将作为无效证明材料）</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both"/>
              <w:textAlignment w:val="auto"/>
              <w:outlineLvl w:val="9"/>
              <w:rPr>
                <w:rFonts w:hint="eastAsia" w:ascii="宋体" w:hAnsi="宋体"/>
                <w:sz w:val="24"/>
                <w:highlight w:val="none"/>
                <w:vertAlign w:val="baseli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*5</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付款条款</w:t>
            </w:r>
          </w:p>
        </w:tc>
        <w:tc>
          <w:tcPr>
            <w:tcW w:w="6604" w:type="dxa"/>
            <w:vAlign w:val="center"/>
          </w:tcPr>
          <w:p>
            <w:pPr>
              <w:pStyle w:val="10"/>
              <w:numPr>
                <w:ilvl w:val="0"/>
                <w:numId w:val="0"/>
              </w:numPr>
              <w:spacing w:after="0"/>
              <w:ind w:left="216" w:leftChars="103" w:firstLine="2" w:firstLineChars="0"/>
              <w:jc w:val="both"/>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按以下模式一次性付款：</w:t>
            </w:r>
          </w:p>
          <w:p>
            <w:pPr>
              <w:pStyle w:val="10"/>
              <w:numPr>
                <w:ilvl w:val="0"/>
                <w:numId w:val="0"/>
              </w:numPr>
              <w:spacing w:after="0"/>
              <w:ind w:left="420" w:leftChars="0" w:firstLine="480" w:firstLineChars="200"/>
              <w:jc w:val="both"/>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验收合格并收到成交单位按客服公司要求开具的真实合法有效的发票后一次性支付全部款项。</w:t>
            </w:r>
          </w:p>
          <w:p>
            <w:pPr>
              <w:pStyle w:val="10"/>
              <w:spacing w:after="0"/>
              <w:ind w:left="647" w:leftChars="104" w:hanging="429" w:hangingChars="178"/>
              <w:jc w:val="left"/>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按以下模式分期付款（适用于非一次性付款的工装类货物）</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元，成交单位应于工装完成预验收并收到客服公司提供的设备预验收报告后向客服公司开具累计至第二期付款金额的真实合法有效的发票，客服公司在收到发票之日起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日内支付。[注：第二期付款是预验收款，如无需预验收则可视情况删除]</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2"/>
              </w:numPr>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元，客服公司于工装质保期期满之日起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eastAsia" w:ascii="宋体" w:hAnsi="宋体"/>
                <w:b w:val="0"/>
                <w:bCs w:val="0"/>
                <w:kern w:val="2"/>
                <w:sz w:val="24"/>
                <w:szCs w:val="24"/>
                <w:highlight w:val="none"/>
                <w:lang w:val="en-US" w:eastAsia="zh-CN" w:bidi="ar-SA"/>
              </w:rPr>
            </w:pPr>
            <w:r>
              <w:rPr>
                <w:rFonts w:hint="eastAsia" w:ascii="宋体" w:hAnsi="宋体"/>
                <w:b/>
                <w:bCs/>
                <w:sz w:val="24"/>
                <w:highlight w:val="none"/>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按以下模式分期付款（适用于非一次性付款的设备类货物）</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第一期付款：预付款人民币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元，成交单位应于设备完成预验收并收到甲方提供的设备预验收报告后向客服公司开具累计至第二期付款金额的发票，客服公司在收到发票之日起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日内按客服公司要求开具合同剩余金额的发票,客服公司收到发票之日起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元，客服公司于设备质保期期满之日起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ind w:left="0" w:leftChars="0" w:firstLine="219" w:firstLineChars="91"/>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sym w:font="Wingdings" w:char="00FE"/>
            </w:r>
            <w:r>
              <w:rPr>
                <w:rFonts w:hint="eastAsia" w:ascii="宋体" w:hAnsi="宋体"/>
                <w:b w:val="0"/>
                <w:bCs w:val="0"/>
                <w:kern w:val="2"/>
                <w:sz w:val="24"/>
                <w:szCs w:val="24"/>
                <w:highlight w:val="none"/>
                <w:lang w:val="en-US" w:eastAsia="zh-CN" w:bidi="ar-SA"/>
              </w:rPr>
              <w:t xml:space="preserve"> 客服公司向成交单位支付的费用应每半合同年一结，甲方应在合同年每满半合同年后收到乙方对应金额的增值税专用发票并验收合格后后30个工作日内完成付款。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p>
        </w:tc>
        <w:tc>
          <w:tcPr>
            <w:tcW w:w="6604" w:type="dxa"/>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6" w:leftChars="103" w:hanging="10" w:hangingChars="5"/>
              <w:textAlignment w:val="auto"/>
              <w:outlineLvl w:val="9"/>
              <w:rPr>
                <w:rFonts w:hint="eastAsia"/>
                <w:lang w:val="en-US" w:eastAsia="zh-CN"/>
              </w:rPr>
            </w:pPr>
            <w:r>
              <w:rPr>
                <w:rFonts w:hint="eastAsia"/>
                <w:lang w:val="en-US" w:eastAsia="zh-CN"/>
              </w:rPr>
              <w:t>上述合同付款条款，根据客服公司选择，具体开票要求如下：</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lang w:val="en-US" w:eastAsia="zh-CN"/>
              </w:rPr>
            </w:pPr>
            <w:r>
              <w:rPr>
                <w:rFonts w:hint="eastAsia"/>
                <w:lang w:eastAsia="zh-CN"/>
              </w:rPr>
              <w:t>☑</w:t>
            </w:r>
            <w:r>
              <w:rPr>
                <w:rFonts w:hint="eastAsia"/>
                <w:lang w:val="en-US" w:eastAsia="zh-CN"/>
              </w:rPr>
              <w:t xml:space="preserve"> 供应商按含税价开具真实合法有效的增值税专用发票；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lang w:val="en-US" w:eastAsia="zh-CN"/>
              </w:rPr>
            </w:pPr>
            <w:r>
              <w:rPr>
                <w:rFonts w:hint="eastAsia"/>
              </w:rPr>
              <w:t>□</w:t>
            </w:r>
            <w:r>
              <w:rPr>
                <w:rFonts w:hint="eastAsia"/>
                <w:lang w:val="en-US" w:eastAsia="zh-CN"/>
              </w:rPr>
              <w:t xml:space="preserve"> 承揽方按不含税价开具符合要求的形式发票或增值税普通发票；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6" w:leftChars="103" w:hanging="10" w:hangingChars="5"/>
              <w:textAlignment w:val="auto"/>
              <w:outlineLvl w:val="9"/>
              <w:rPr>
                <w:rFonts w:hint="eastAsia"/>
                <w:lang w:val="en-US" w:eastAsia="zh-CN"/>
              </w:rPr>
            </w:pPr>
            <w:r>
              <w:rPr>
                <w:rFonts w:hint="eastAsia"/>
              </w:rPr>
              <w:t>□</w:t>
            </w:r>
            <w:r>
              <w:rPr>
                <w:rFonts w:hint="eastAsia"/>
                <w:lang w:val="en-US" w:eastAsia="zh-CN"/>
              </w:rPr>
              <w:t xml:space="preserve"> 定作方要求的其他发票形式</w:t>
            </w:r>
          </w:p>
          <w:p>
            <w:pPr>
              <w:pStyle w:val="2"/>
              <w:rPr>
                <w:rFonts w:hint="default" w:eastAsia="宋体"/>
                <w:lang w:val="en-US" w:eastAsia="zh-CN"/>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w:t>
            </w:r>
          </w:p>
        </w:tc>
        <w:tc>
          <w:tcPr>
            <w:tcW w:w="6604"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eastAsia" w:ascii="宋体" w:hAnsi="宋体"/>
                <w:sz w:val="24"/>
                <w:highlight w:val="none"/>
              </w:rPr>
            </w:pPr>
            <w:r>
              <w:rPr>
                <w:rFonts w:hint="eastAsia" w:ascii="Times New Roman" w:hAnsi="Times New Roman"/>
                <w:sz w:val="24"/>
                <w:highlight w:val="none"/>
                <w:lang w:val="en-US" w:eastAsia="zh-CN"/>
              </w:rPr>
              <w:t>__</w:t>
            </w:r>
            <w:r>
              <w:rPr>
                <w:rFonts w:hint="eastAsia" w:ascii="Times New Roman" w:hAnsi="Times New Roman"/>
                <w:sz w:val="24"/>
                <w:highlight w:val="none"/>
                <w:u w:val="single"/>
                <w:lang w:val="en-US" w:eastAsia="zh-CN"/>
              </w:rPr>
              <w:t>完成本项目的所有所需费用</w:t>
            </w:r>
            <w:r>
              <w:rPr>
                <w:rFonts w:hint="eastAsia" w:ascii="Times New Roman" w:hAnsi="Times New Roman"/>
                <w:sz w:val="24"/>
                <w:highlight w:val="none"/>
                <w:lang w:val="en-US" w:eastAsia="zh-CN"/>
              </w:rPr>
              <w:t>___________________</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响应单位</w:t>
            </w:r>
            <w:r>
              <w:rPr>
                <w:rFonts w:hint="eastAsia" w:ascii="宋体" w:hAnsi="宋体"/>
                <w:sz w:val="24"/>
                <w:highlight w:val="none"/>
              </w:rPr>
              <w:t>须在</w:t>
            </w:r>
            <w:r>
              <w:rPr>
                <w:rFonts w:hint="eastAsia" w:ascii="宋体" w:hAnsi="宋体"/>
                <w:sz w:val="24"/>
                <w:highlight w:val="none"/>
                <w:lang w:eastAsia="zh-CN"/>
              </w:rPr>
              <w:t>分项报价表</w:t>
            </w:r>
            <w:r>
              <w:rPr>
                <w:rFonts w:hint="eastAsia" w:ascii="宋体" w:hAnsi="宋体"/>
                <w:sz w:val="24"/>
                <w:highlight w:val="none"/>
              </w:rPr>
              <w:t>（见附件）中分别报出以上各部分价格。</w:t>
            </w:r>
            <w:r>
              <w:rPr>
                <w:rFonts w:hint="eastAsia" w:ascii="宋体" w:hAnsi="宋体"/>
                <w:sz w:val="24"/>
                <w:highlight w:val="none"/>
                <w:lang w:eastAsia="zh-CN"/>
              </w:rPr>
              <w:t>响应单位</w:t>
            </w:r>
            <w:r>
              <w:rPr>
                <w:rFonts w:hint="eastAsia" w:ascii="宋体" w:hAnsi="宋体"/>
                <w:sz w:val="24"/>
                <w:highlight w:val="none"/>
              </w:rPr>
              <w:t>根据报价需要可对“分项报价表”进行扩展。</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报价应是本项目范围内全部工作内容的价格体现，应包含所涉及的一切相关费用，若有遗漏，</w:t>
            </w:r>
            <w:r>
              <w:rPr>
                <w:rFonts w:hint="eastAsia" w:ascii="Times New Roman" w:hAnsi="Times New Roman"/>
                <w:sz w:val="24"/>
                <w:highlight w:val="none"/>
                <w:lang w:eastAsia="zh-CN"/>
              </w:rPr>
              <w:t>客服</w:t>
            </w:r>
            <w:r>
              <w:rPr>
                <w:rFonts w:ascii="Times New Roman" w:hAnsi="Times New Roman"/>
                <w:sz w:val="24"/>
                <w:highlight w:val="none"/>
              </w:rPr>
              <w:t>公司视作</w:t>
            </w:r>
            <w:r>
              <w:rPr>
                <w:rFonts w:hint="eastAsia" w:ascii="Times New Roman" w:hAnsi="Times New Roman"/>
                <w:sz w:val="24"/>
                <w:highlight w:val="none"/>
                <w:lang w:eastAsia="zh-CN"/>
              </w:rPr>
              <w:t>响应单位</w:t>
            </w:r>
            <w:r>
              <w:rPr>
                <w:rFonts w:ascii="Times New Roman" w:hAnsi="Times New Roman"/>
                <w:sz w:val="24"/>
                <w:highlight w:val="none"/>
              </w:rPr>
              <w:t>已考虑让利，费用不予增加。</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提交的报价不应有选择性报价或具有附加条件的报价</w:t>
            </w:r>
            <w:r>
              <w:rPr>
                <w:rFonts w:hint="eastAsia" w:ascii="Times New Roman" w:hAnsi="Times New Roman"/>
                <w:sz w:val="24"/>
                <w:highlight w:val="none"/>
                <w:lang w:eastAsia="zh-CN"/>
              </w:rPr>
              <w:t>，</w:t>
            </w:r>
            <w:r>
              <w:rPr>
                <w:rFonts w:ascii="Times New Roman" w:hAnsi="Times New Roman"/>
                <w:sz w:val="24"/>
                <w:highlight w:val="none"/>
              </w:rPr>
              <w:t>如出现以下情况（包括但不限于以下几种），则</w:t>
            </w:r>
            <w:r>
              <w:rPr>
                <w:rFonts w:hint="eastAsia" w:ascii="Times New Roman" w:hAnsi="Times New Roman"/>
                <w:sz w:val="24"/>
                <w:highlight w:val="none"/>
                <w:lang w:eastAsia="zh-CN"/>
              </w:rPr>
              <w:t>响应文件</w:t>
            </w:r>
            <w:r>
              <w:rPr>
                <w:rFonts w:ascii="Times New Roman" w:hAnsi="Times New Roman"/>
                <w:sz w:val="24"/>
                <w:highlight w:val="none"/>
              </w:rPr>
              <w:t>将被否决：</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）若中标，则将在报价基础上降价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）若中标某几个项目，则这几个项目将在报价基础上降价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其他商务要求</w:t>
            </w:r>
          </w:p>
        </w:tc>
        <w:tc>
          <w:tcPr>
            <w:tcW w:w="6604"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snapToGrid/>
              <w:spacing w:line="240" w:lineRule="auto"/>
              <w:jc w:val="left"/>
              <w:textAlignment w:val="auto"/>
              <w:outlineLvl w:val="9"/>
              <w:rPr>
                <w:rFonts w:hint="default"/>
                <w:lang w:val="en-US" w:eastAsia="zh-CN"/>
              </w:rPr>
            </w:pPr>
            <w:r>
              <w:rPr>
                <w:rFonts w:hint="eastAsia" w:ascii="宋体" w:hAnsi="宋体"/>
                <w:sz w:val="24"/>
                <w:highlight w:val="none"/>
                <w:vertAlign w:val="baseline"/>
                <w:lang w:val="en-US" w:eastAsia="zh-CN"/>
              </w:rPr>
              <w:t>报价文件须提供上门维保人员提供登高证、电工证；</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outlineLvl w:val="9"/>
              <w:rPr>
                <w:rFonts w:hint="default"/>
                <w:lang w:val="en-US" w:eastAsia="zh-CN"/>
              </w:rPr>
            </w:pPr>
            <w:r>
              <w:rPr>
                <w:rFonts w:hint="eastAsia" w:ascii="宋体" w:hAnsi="宋体"/>
                <w:sz w:val="24"/>
                <w:highlight w:val="none"/>
                <w:vertAlign w:val="baseline"/>
                <w:lang w:val="en-US" w:eastAsia="zh-CN"/>
              </w:rPr>
              <w:t>2.在签署本项目合同及履行本项目义务时无任何法律障碍和重大事件影响供应商继续正常存续和全面履行本项目合同的能力，未被列入全国失信被执行人名单，披露正在审理或执行完毕的标的金额大于500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Pr>
        <w:keepNext w:val="0"/>
        <w:keepLines w:val="0"/>
        <w:pageBreakBefore w:val="0"/>
        <w:kinsoku/>
        <w:overflowPunct/>
        <w:topLinePunct w:val="0"/>
        <w:bidi w:val="0"/>
        <w:textAlignment w:val="auto"/>
        <w:outlineLvl w:val="9"/>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10"/>
      <w:bookmarkStart w:id="15"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5"/>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pStyle w:val="35"/>
        <w:spacing w:line="360" w:lineRule="auto"/>
        <w:ind w:firstLine="562" w:firstLineChars="200"/>
        <w:rPr>
          <w:rFonts w:hint="default"/>
          <w:u w:val="none"/>
          <w:lang w:val="en-US" w:eastAsia="zh-CN"/>
        </w:rPr>
      </w:pPr>
      <w:r>
        <w:rPr>
          <w:rFonts w:hint="eastAsia" w:ascii="黑体" w:hAnsi="黑体" w:eastAsia="黑体" w:cs="黑体"/>
          <w:b/>
          <w:bCs/>
          <w:sz w:val="28"/>
          <w:szCs w:val="36"/>
          <w:highlight w:val="none"/>
          <w:u w:val="none"/>
          <w:lang w:eastAsia="zh-CN"/>
        </w:rPr>
        <w:t>*</w:t>
      </w:r>
      <w:r>
        <w:rPr>
          <w:rFonts w:hint="eastAsia"/>
          <w:u w:val="none"/>
          <w:lang w:val="en-US" w:eastAsia="zh-CN"/>
        </w:rPr>
        <w:t>1、服务要求</w:t>
      </w:r>
    </w:p>
    <w:p>
      <w:pPr>
        <w:pStyle w:val="35"/>
        <w:spacing w:line="360" w:lineRule="auto"/>
        <w:ind w:firstLine="720" w:firstLineChars="300"/>
        <w:rPr>
          <w:rFonts w:hint="default"/>
          <w:sz w:val="24"/>
          <w:u w:val="none"/>
          <w:lang w:val="en-US" w:eastAsia="zh-CN"/>
        </w:rPr>
      </w:pPr>
      <w:r>
        <w:rPr>
          <w:rFonts w:hint="default"/>
          <w:sz w:val="24"/>
          <w:u w:val="none"/>
          <w:lang w:val="en-US" w:eastAsia="zh-CN"/>
        </w:rPr>
        <w:t>围绕</w:t>
      </w:r>
      <w:r>
        <w:rPr>
          <w:rFonts w:hint="eastAsia"/>
          <w:sz w:val="24"/>
          <w:highlight w:val="none"/>
          <w:u w:val="none"/>
          <w:lang w:val="en-US" w:eastAsia="zh-CN"/>
        </w:rPr>
        <w:t>附件八《技术文件》要求</w:t>
      </w:r>
      <w:r>
        <w:rPr>
          <w:rFonts w:hint="eastAsia"/>
          <w:sz w:val="24"/>
          <w:u w:val="none"/>
          <w:lang w:val="en-US" w:eastAsia="zh-CN"/>
        </w:rPr>
        <w:t>，供应商须根据附件明细及周期对自动货架进行维护</w:t>
      </w:r>
      <w:r>
        <w:rPr>
          <w:rFonts w:hint="default"/>
          <w:sz w:val="24"/>
          <w:u w:val="none"/>
          <w:lang w:val="en-US" w:eastAsia="zh-CN"/>
        </w:rPr>
        <w:t>。</w:t>
      </w:r>
    </w:p>
    <w:p>
      <w:pPr>
        <w:pStyle w:val="35"/>
        <w:spacing w:line="360" w:lineRule="auto"/>
        <w:ind w:firstLine="562" w:firstLineChars="200"/>
        <w:rPr>
          <w:rFonts w:hint="eastAsia"/>
          <w:sz w:val="24"/>
          <w:u w:val="none"/>
          <w:lang w:val="en-US" w:eastAsia="zh-CN"/>
        </w:rPr>
      </w:pPr>
      <w:r>
        <w:rPr>
          <w:rFonts w:hint="eastAsia" w:ascii="黑体" w:hAnsi="黑体" w:eastAsia="黑体" w:cs="黑体"/>
          <w:b/>
          <w:bCs/>
          <w:sz w:val="28"/>
          <w:szCs w:val="36"/>
          <w:highlight w:val="none"/>
          <w:u w:val="none"/>
          <w:lang w:val="en-US" w:eastAsia="zh-CN"/>
        </w:rPr>
        <w:t>*</w:t>
      </w:r>
      <w:r>
        <w:rPr>
          <w:rFonts w:hint="eastAsia"/>
          <w:sz w:val="24"/>
          <w:u w:val="none"/>
          <w:lang w:val="en-US" w:eastAsia="zh-CN"/>
        </w:rPr>
        <w:t>2、合同签订之日起五个工作日内进行首次维保服务并已书面形式进行验收，（按附件九《维保验收单》为模板），验收合格后由双方验收人员签字一式两份，双方各执一份。</w:t>
      </w:r>
    </w:p>
    <w:p>
      <w:pPr>
        <w:pStyle w:val="35"/>
        <w:spacing w:line="360" w:lineRule="auto"/>
        <w:ind w:firstLine="562" w:firstLineChars="200"/>
        <w:rPr>
          <w:rFonts w:hint="default"/>
          <w:sz w:val="24"/>
          <w:u w:val="none"/>
          <w:lang w:val="en-US" w:eastAsia="zh-CN"/>
        </w:rPr>
      </w:pPr>
      <w:r>
        <w:rPr>
          <w:rFonts w:hint="eastAsia" w:ascii="黑体" w:hAnsi="黑体" w:eastAsia="黑体" w:cs="黑体"/>
          <w:b/>
          <w:bCs/>
          <w:sz w:val="28"/>
          <w:szCs w:val="36"/>
          <w:highlight w:val="none"/>
          <w:u w:val="none"/>
          <w:lang w:val="en-US" w:eastAsia="zh-CN"/>
        </w:rPr>
        <w:t>*</w:t>
      </w:r>
      <w:r>
        <w:rPr>
          <w:rFonts w:hint="eastAsia"/>
          <w:sz w:val="24"/>
          <w:u w:val="none"/>
          <w:lang w:val="en-US" w:eastAsia="zh-CN"/>
        </w:rPr>
        <w:t>3、附件八《技术要求》中所提到的自动化立体库及自动货柜需要更换的易损件及市场价五千元以下的配件费、维修费、人工费等一切费用均由供应商承担。</w:t>
      </w:r>
    </w:p>
    <w:p>
      <w:pPr>
        <w:pStyle w:val="35"/>
        <w:spacing w:line="360" w:lineRule="auto"/>
        <w:ind w:firstLine="720" w:firstLineChars="300"/>
        <w:rPr>
          <w:rFonts w:hint="default"/>
          <w:sz w:val="24"/>
          <w:u w:val="none"/>
          <w:lang w:val="en-US" w:eastAsia="zh-CN"/>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szCs w:val="21"/>
          <w:highlight w:val="none"/>
        </w:rPr>
        <w:br w:type="page"/>
      </w:r>
      <w:bookmarkEnd w:id="11"/>
      <w:bookmarkStart w:id="16" w:name="_Toc7733_WPSOffice_Level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自动货架维护保养项目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服务期限（合同签订之日起三年）</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180</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7" w:name="_Hlk35922021"/>
      <w:r>
        <w:rPr>
          <w:rFonts w:hint="eastAsia" w:ascii="黑体" w:hAnsi="宋体" w:eastAsia="黑体"/>
          <w:sz w:val="30"/>
          <w:szCs w:val="30"/>
          <w:highlight w:val="none"/>
          <w:lang w:val="en-US" w:eastAsia="zh-CN"/>
        </w:rPr>
        <w:t>二、</w:t>
      </w:r>
      <w:bookmarkEnd w:id="17"/>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2"/>
        <w:tblW w:w="99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123"/>
        <w:gridCol w:w="2053"/>
        <w:gridCol w:w="1453"/>
        <w:gridCol w:w="1603"/>
        <w:gridCol w:w="1603"/>
        <w:gridCol w:w="16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603" w:type="dxa"/>
            <w:gridSpan w:val="2"/>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序号</w:t>
            </w:r>
          </w:p>
        </w:tc>
        <w:tc>
          <w:tcPr>
            <w:tcW w:w="2053"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1453"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单价（1年）</w:t>
            </w:r>
          </w:p>
        </w:tc>
        <w:tc>
          <w:tcPr>
            <w:tcW w:w="160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hAnsi="宋体" w:eastAsia="宋体" w:cs="宋体"/>
                <w:highlight w:val="none"/>
                <w:lang w:val="en-US" w:eastAsia="zh-CN"/>
              </w:rPr>
            </w:pPr>
            <w:r>
              <w:rPr>
                <w:rFonts w:hint="eastAsia" w:ascii="宋体" w:hAnsi="宋体" w:cs="宋体"/>
                <w:highlight w:val="none"/>
                <w:lang w:val="en-US" w:eastAsia="zh-CN"/>
              </w:rPr>
              <w:t>数量（年）</w:t>
            </w:r>
          </w:p>
        </w:tc>
        <w:tc>
          <w:tcPr>
            <w:tcW w:w="1603"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lang w:eastAsia="zh-CN"/>
              </w:rPr>
            </w:pPr>
            <w:r>
              <w:rPr>
                <w:rFonts w:hint="eastAsia" w:ascii="宋体"/>
                <w:highlight w:val="none"/>
                <w:lang w:val="en-US" w:eastAsia="zh-CN"/>
              </w:rPr>
              <w:t>总价</w:t>
            </w:r>
          </w:p>
        </w:tc>
        <w:tc>
          <w:tcPr>
            <w:tcW w:w="1603"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lang w:eastAsia="zh-CN"/>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3" w:type="dxa"/>
            <w:gridSpan w:val="2"/>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1</w:t>
            </w:r>
          </w:p>
        </w:tc>
        <w:tc>
          <w:tcPr>
            <w:tcW w:w="20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自动化立体库维保</w:t>
            </w:r>
          </w:p>
        </w:tc>
        <w:tc>
          <w:tcPr>
            <w:tcW w:w="14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3</w:t>
            </w: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3" w:type="dxa"/>
            <w:gridSpan w:val="2"/>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2</w:t>
            </w:r>
          </w:p>
        </w:tc>
        <w:tc>
          <w:tcPr>
            <w:tcW w:w="20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自动货柜维保</w:t>
            </w:r>
          </w:p>
        </w:tc>
        <w:tc>
          <w:tcPr>
            <w:tcW w:w="14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3</w:t>
            </w: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3" w:type="dxa"/>
            <w:gridSpan w:val="2"/>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20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其他服务</w:t>
            </w:r>
          </w:p>
        </w:tc>
        <w:tc>
          <w:tcPr>
            <w:tcW w:w="14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3</w:t>
            </w: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3" w:type="dxa"/>
            <w:gridSpan w:val="2"/>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cs="宋体"/>
                <w:highlight w:val="none"/>
              </w:rPr>
              <w:t>…</w:t>
            </w:r>
          </w:p>
        </w:tc>
        <w:tc>
          <w:tcPr>
            <w:tcW w:w="20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4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603"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rPr>
              <w:t>总报价</w:t>
            </w:r>
            <w:r>
              <w:rPr>
                <w:rFonts w:hint="eastAsia" w:ascii="宋体" w:hAnsi="宋体" w:cs="宋体"/>
                <w:highlight w:val="none"/>
                <w:lang w:eastAsia="zh-CN"/>
              </w:rPr>
              <w:t>（</w:t>
            </w:r>
            <w:r>
              <w:rPr>
                <w:rFonts w:hint="eastAsia" w:ascii="宋体" w:hAnsi="宋体" w:cs="宋体"/>
                <w:highlight w:val="none"/>
                <w:lang w:val="en-US" w:eastAsia="zh-CN"/>
              </w:rPr>
              <w:t>含税</w:t>
            </w:r>
            <w:r>
              <w:rPr>
                <w:rFonts w:hint="eastAsia" w:ascii="宋体" w:hAnsi="宋体" w:cs="宋体"/>
                <w:highlight w:val="none"/>
                <w:lang w:eastAsia="zh-CN"/>
              </w:rPr>
              <w:t>）</w:t>
            </w:r>
          </w:p>
        </w:tc>
        <w:tc>
          <w:tcPr>
            <w:tcW w:w="8438"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宋体"/>
                <w:highlight w:val="none"/>
              </w:rPr>
            </w:pPr>
            <w:r>
              <w:rPr>
                <w:rFonts w:hint="eastAsia" w:ascii="宋体" w:hAnsi="宋体" w:cs="宋体"/>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05" w:firstLineChars="50"/>
              <w:jc w:val="left"/>
              <w:textAlignment w:val="auto"/>
              <w:outlineLvl w:val="9"/>
              <w:rPr>
                <w:rFonts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918" w:type="dxa"/>
            <w:gridSpan w:val="7"/>
            <w:tcBorders>
              <w:top w:val="single" w:color="auto" w:sz="6" w:space="0"/>
              <w:left w:val="double" w:color="auto" w:sz="4" w:space="0"/>
              <w:bottom w:val="doub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仿宋_GB2312" w:hAnsi="宋体" w:eastAsia="仿宋_GB2312"/>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highlight w:val="none"/>
        </w:rPr>
        <w:sectPr>
          <w:pgSz w:w="11906" w:h="16838"/>
          <w:pgMar w:top="1803" w:right="1440" w:bottom="1803" w:left="1440" w:header="851" w:footer="992" w:gutter="0"/>
          <w:pgBorders>
            <w:top w:val="none" w:sz="0" w:space="0"/>
            <w:left w:val="none" w:sz="0" w:space="0"/>
            <w:bottom w:val="none" w:sz="0" w:space="0"/>
            <w:right w:val="none" w:sz="0" w:space="0"/>
          </w:pgBorders>
          <w:cols w:space="720" w:num="1"/>
          <w:rtlGutter w:val="0"/>
          <w:docGrid w:linePitch="315" w:charSpace="0"/>
        </w:sect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pgBorders>
            <w:top w:val="none" w:sz="0" w:space="0"/>
            <w:left w:val="none" w:sz="0" w:space="0"/>
            <w:bottom w:val="none" w:sz="0" w:space="0"/>
            <w:right w:val="none" w:sz="0" w:space="0"/>
          </w:pgBorders>
          <w:cols w:space="720" w:num="1"/>
          <w:rtlGutter w:val="0"/>
          <w:docGrid w:linePitch="315" w:charSpace="0"/>
        </w:sectPr>
      </w:pPr>
    </w:p>
    <w:p>
      <w:pPr>
        <w:pStyle w:val="13"/>
        <w:rPr>
          <w:rFonts w:hint="eastAsia" w:ascii="黑体" w:hAnsi="宋体" w:eastAsia="宋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五、法定代表人声明（适用于法定代表人响应）（五、六只需提供一份即可）。</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8"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（竞争性谈判项目名称）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8"/>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ascii="宋体" w:hAnsi="宋体"/>
          <w:sz w:val="24"/>
          <w:szCs w:val="24"/>
          <w:highlight w:val="none"/>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 xml:space="preserve">项目名称： </w:t>
      </w:r>
      <w:r>
        <w:rPr>
          <w:rFonts w:hint="eastAsia" w:ascii="仿宋_GB2312"/>
          <w:szCs w:val="32"/>
          <w:highlight w:val="none"/>
          <w:lang w:val="en-US" w:eastAsia="zh-CN"/>
        </w:rPr>
        <w:t>自动货架维护保养项目</w:t>
      </w:r>
      <w:r>
        <w:rPr>
          <w:rFonts w:hint="eastAsia" w:ascii="仿宋_GB2312"/>
          <w:szCs w:val="32"/>
          <w:highlight w:val="none"/>
        </w:rPr>
        <w:t xml:space="preserve">                                      </w:t>
      </w:r>
    </w:p>
    <w:p>
      <w:pPr>
        <w:snapToGrid w:val="0"/>
        <w:spacing w:line="560" w:lineRule="exact"/>
        <w:rPr>
          <w:rFonts w:hint="default" w:ascii="仿宋_GB2312" w:eastAsia="宋体"/>
          <w:szCs w:val="32"/>
          <w:highlight w:val="none"/>
          <w:lang w:val="en-US" w:eastAsia="zh-CN"/>
        </w:rPr>
      </w:pPr>
      <w:bookmarkStart w:id="19" w:name="_Toc26253_WPSOffice_Level1"/>
      <w:bookmarkStart w:id="20" w:name="_Toc11341_WPSOffice_Level1"/>
      <w:bookmarkStart w:id="21" w:name="_Toc11907_WPSOffice_Level1"/>
      <w:r>
        <w:rPr>
          <w:rFonts w:hint="eastAsia" w:ascii="仿宋_GB2312"/>
          <w:szCs w:val="32"/>
          <w:highlight w:val="none"/>
        </w:rPr>
        <w:t>甲  方：</w:t>
      </w:r>
      <w:bookmarkEnd w:id="19"/>
      <w:bookmarkEnd w:id="20"/>
      <w:bookmarkEnd w:id="21"/>
      <w:r>
        <w:rPr>
          <w:rFonts w:hint="eastAsia" w:ascii="仿宋_GB2312"/>
          <w:szCs w:val="32"/>
          <w:highlight w:val="none"/>
          <w:lang w:val="en-US" w:eastAsia="zh-CN"/>
        </w:rPr>
        <w:t>上海飞机客户服务有限公司</w:t>
      </w:r>
    </w:p>
    <w:p>
      <w:pPr>
        <w:snapToGrid w:val="0"/>
        <w:spacing w:line="560" w:lineRule="exact"/>
        <w:rPr>
          <w:rFonts w:ascii="仿宋_GB2312"/>
          <w:szCs w:val="32"/>
          <w:highlight w:val="none"/>
        </w:rPr>
      </w:pPr>
      <w:bookmarkStart w:id="22" w:name="_Toc31341_WPSOffice_Level1"/>
      <w:bookmarkStart w:id="23" w:name="_Toc27021_WPSOffice_Level1"/>
      <w:bookmarkStart w:id="24" w:name="_Toc25445_WPSOffice_Level1"/>
      <w:r>
        <w:rPr>
          <w:rFonts w:hint="eastAsia" w:ascii="仿宋_GB2312"/>
          <w:szCs w:val="32"/>
          <w:highlight w:val="none"/>
        </w:rPr>
        <w:t>乙  方：</w:t>
      </w:r>
      <w:bookmarkEnd w:id="22"/>
      <w:bookmarkEnd w:id="23"/>
      <w:bookmarkEnd w:id="24"/>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sectPr>
          <w:type w:val="continuous"/>
          <w:pgSz w:w="11906" w:h="16838"/>
          <w:pgMar w:top="1803" w:right="1440" w:bottom="1803" w:left="1440" w:header="851" w:footer="992" w:gutter="0"/>
          <w:pgBorders>
            <w:top w:val="none" w:sz="0" w:space="0"/>
            <w:left w:val="none" w:sz="0" w:space="0"/>
            <w:bottom w:val="none" w:sz="0" w:space="0"/>
            <w:right w:val="none" w:sz="0" w:space="0"/>
          </w:pgBorders>
          <w:cols w:space="720" w:num="1"/>
          <w:rtlGutter w:val="0"/>
          <w:docGrid w:linePitch="315" w:charSpace="0"/>
        </w:sectPr>
      </w:pPr>
      <w:r>
        <w:rPr>
          <w:rFonts w:hint="eastAsia" w:ascii="宋体" w:hAnsi="宋体"/>
          <w:sz w:val="24"/>
          <w:szCs w:val="24"/>
          <w:highlight w:val="none"/>
          <w:u w:val="none"/>
          <w:lang w:eastAsia="zh-CN"/>
        </w:rPr>
        <w:t>七、本协议作为自动货架维护保养合同的附件，具有与其同等的法律效力。</w:t>
      </w:r>
    </w:p>
    <w:p>
      <w:pPr>
        <w:pStyle w:val="2"/>
        <w:jc w:val="left"/>
        <w:rPr>
          <w:rFonts w:hint="eastAsia" w:ascii="黑体" w:hAnsi="宋体" w:eastAsia="黑体"/>
          <w:b w:val="0"/>
          <w:kern w:val="2"/>
          <w:sz w:val="30"/>
          <w:szCs w:val="30"/>
          <w:highlight w:val="none"/>
          <w:lang w:val="en-US" w:eastAsia="zh-CN" w:bidi="ar-SA"/>
        </w:rPr>
      </w:pPr>
      <w:r>
        <w:rPr>
          <w:rFonts w:hint="eastAsia" w:ascii="黑体" w:hAnsi="宋体" w:eastAsia="黑体"/>
          <w:b w:val="0"/>
          <w:kern w:val="2"/>
          <w:sz w:val="30"/>
          <w:szCs w:val="30"/>
          <w:highlight w:val="none"/>
          <w:lang w:val="en-US" w:eastAsia="zh-CN" w:bidi="ar-SA"/>
        </w:rPr>
        <w:t>八、技术要求</w:t>
      </w:r>
    </w:p>
    <w:tbl>
      <w:tblPr>
        <w:tblStyle w:val="32"/>
        <w:tblpPr w:leftFromText="180" w:rightFromText="180" w:vertAnchor="text" w:horzAnchor="page" w:tblpX="1258" w:tblpY="483"/>
        <w:tblOverlap w:val="never"/>
        <w:tblW w:w="14080" w:type="dxa"/>
        <w:tblCellSpacing w:w="0" w:type="dxa"/>
        <w:tblInd w:w="0" w:type="dxa"/>
        <w:tblBorders>
          <w:top w:val="single" w:color="E6E6E6" w:sz="6" w:space="0"/>
          <w:left w:val="single" w:color="E6E6E6" w:sz="6" w:space="0"/>
          <w:bottom w:val="single" w:color="E6E6E6" w:sz="6" w:space="0"/>
          <w:right w:val="single" w:color="E6E6E6" w:sz="6" w:space="0"/>
          <w:insideH w:val="single" w:color="E6E6E6" w:sz="6" w:space="0"/>
          <w:insideV w:val="single" w:color="E6E6E6" w:sz="6" w:space="0"/>
        </w:tblBorders>
        <w:tblLayout w:type="fixed"/>
        <w:tblCellMar>
          <w:top w:w="0" w:type="dxa"/>
          <w:left w:w="0" w:type="dxa"/>
          <w:bottom w:w="0" w:type="dxa"/>
          <w:right w:w="0" w:type="dxa"/>
        </w:tblCellMar>
      </w:tblPr>
      <w:tblGrid>
        <w:gridCol w:w="1135"/>
        <w:gridCol w:w="2166"/>
        <w:gridCol w:w="7650"/>
        <w:gridCol w:w="1014"/>
        <w:gridCol w:w="1110"/>
        <w:gridCol w:w="1005"/>
      </w:tblGrid>
      <w:tr>
        <w:tblPrEx>
          <w:tblBorders>
            <w:top w:val="single" w:color="E6E6E6" w:sz="6" w:space="0"/>
            <w:left w:val="single" w:color="E6E6E6" w:sz="6" w:space="0"/>
            <w:bottom w:val="single" w:color="E6E6E6" w:sz="6" w:space="0"/>
            <w:right w:val="single" w:color="E6E6E6" w:sz="6" w:space="0"/>
            <w:insideH w:val="single" w:color="E6E6E6" w:sz="6" w:space="0"/>
            <w:insideV w:val="single" w:color="E6E6E6" w:sz="6" w:space="0"/>
          </w:tblBorders>
          <w:tblLayout w:type="fixed"/>
          <w:tblCellMar>
            <w:top w:w="0" w:type="dxa"/>
            <w:left w:w="0" w:type="dxa"/>
            <w:bottom w:w="0" w:type="dxa"/>
            <w:right w:w="0" w:type="dxa"/>
          </w:tblCellMar>
        </w:tblPrEx>
        <w:trPr>
          <w:trHeight w:val="491" w:hRule="atLeast"/>
          <w:tblCellSpacing w:w="0" w:type="dxa"/>
        </w:trPr>
        <w:tc>
          <w:tcPr>
            <w:tcW w:w="1135" w:type="dxa"/>
            <w:tcBorders>
              <w:tl2br w:val="nil"/>
              <w:tr2bl w:val="nil"/>
            </w:tcBorders>
            <w:tcMar>
              <w:top w:w="0" w:type="dxa"/>
              <w:left w:w="225" w:type="dxa"/>
              <w:bottom w:w="0" w:type="dxa"/>
              <w:right w:w="225" w:type="dxa"/>
            </w:tcMar>
            <w:vAlign w:val="bottom"/>
          </w:tcPr>
          <w:p>
            <w:pPr>
              <w:widowControl/>
              <w:spacing w:line="450" w:lineRule="atLeast"/>
              <w:jc w:val="center"/>
              <w:textAlignment w:val="baseline"/>
              <w:rPr>
                <w:rFonts w:ascii="宋体" w:hAnsi="宋体" w:eastAsia="宋体" w:cs="阿里巴巴普惠体"/>
                <w:b/>
                <w:color w:val="444444"/>
                <w:kern w:val="0"/>
                <w:sz w:val="24"/>
                <w:szCs w:val="28"/>
              </w:rPr>
            </w:pPr>
            <w:r>
              <w:rPr>
                <w:rFonts w:hint="eastAsia" w:ascii="宋体" w:hAnsi="宋体" w:eastAsia="宋体" w:cs="阿里巴巴普惠体"/>
                <w:b/>
                <w:color w:val="444444"/>
                <w:kern w:val="0"/>
                <w:sz w:val="24"/>
                <w:szCs w:val="28"/>
              </w:rPr>
              <w:t>序号</w:t>
            </w:r>
          </w:p>
        </w:tc>
        <w:tc>
          <w:tcPr>
            <w:tcW w:w="2166" w:type="dxa"/>
            <w:tcBorders>
              <w:tl2br w:val="nil"/>
              <w:tr2bl w:val="nil"/>
            </w:tcBorders>
            <w:tcMar>
              <w:top w:w="0" w:type="dxa"/>
              <w:left w:w="225" w:type="dxa"/>
              <w:bottom w:w="0" w:type="dxa"/>
              <w:right w:w="225" w:type="dxa"/>
            </w:tcMar>
            <w:vAlign w:val="bottom"/>
          </w:tcPr>
          <w:p>
            <w:pPr>
              <w:widowControl/>
              <w:spacing w:line="450" w:lineRule="atLeast"/>
              <w:jc w:val="center"/>
              <w:textAlignment w:val="baseline"/>
              <w:rPr>
                <w:rFonts w:ascii="宋体" w:hAnsi="宋体" w:eastAsia="宋体" w:cs="阿里巴巴普惠体"/>
                <w:b/>
                <w:color w:val="444444"/>
                <w:kern w:val="0"/>
                <w:sz w:val="24"/>
                <w:szCs w:val="28"/>
              </w:rPr>
            </w:pPr>
            <w:r>
              <w:rPr>
                <w:rFonts w:hint="eastAsia" w:ascii="宋体" w:hAnsi="宋体" w:eastAsia="宋体" w:cs="阿里巴巴普惠体"/>
                <w:b/>
                <w:color w:val="444444"/>
                <w:kern w:val="0"/>
                <w:sz w:val="24"/>
                <w:szCs w:val="28"/>
              </w:rPr>
              <w:t>名称</w:t>
            </w:r>
          </w:p>
        </w:tc>
        <w:tc>
          <w:tcPr>
            <w:tcW w:w="7650" w:type="dxa"/>
            <w:tcBorders>
              <w:tl2br w:val="nil"/>
              <w:tr2bl w:val="nil"/>
            </w:tcBorders>
            <w:vAlign w:val="bottom"/>
          </w:tcPr>
          <w:p>
            <w:pPr>
              <w:widowControl/>
              <w:spacing w:line="450" w:lineRule="atLeast"/>
              <w:jc w:val="center"/>
              <w:textAlignment w:val="baseline"/>
              <w:rPr>
                <w:rFonts w:ascii="宋体" w:hAnsi="宋体" w:eastAsia="宋体" w:cs="阿里巴巴普惠体"/>
                <w:b/>
                <w:color w:val="444444"/>
                <w:kern w:val="0"/>
                <w:sz w:val="24"/>
                <w:szCs w:val="28"/>
              </w:rPr>
            </w:pPr>
            <w:r>
              <w:rPr>
                <w:rFonts w:hint="eastAsia" w:ascii="宋体" w:hAnsi="宋体" w:eastAsia="宋体" w:cs="阿里巴巴普惠体"/>
                <w:b/>
                <w:color w:val="444444"/>
                <w:kern w:val="0"/>
                <w:sz w:val="24"/>
                <w:szCs w:val="28"/>
              </w:rPr>
              <w:t>检修维保明细</w:t>
            </w:r>
          </w:p>
        </w:tc>
        <w:tc>
          <w:tcPr>
            <w:tcW w:w="1014" w:type="dxa"/>
            <w:tcBorders>
              <w:tl2br w:val="nil"/>
              <w:tr2bl w:val="nil"/>
            </w:tcBorders>
            <w:tcMar>
              <w:top w:w="0" w:type="dxa"/>
              <w:left w:w="225" w:type="dxa"/>
              <w:bottom w:w="0" w:type="dxa"/>
              <w:right w:w="225" w:type="dxa"/>
            </w:tcMar>
            <w:vAlign w:val="bottom"/>
          </w:tcPr>
          <w:p>
            <w:pPr>
              <w:widowControl/>
              <w:spacing w:line="450" w:lineRule="atLeast"/>
              <w:jc w:val="center"/>
              <w:textAlignment w:val="baseline"/>
              <w:rPr>
                <w:rFonts w:ascii="宋体" w:hAnsi="宋体" w:eastAsia="宋体" w:cs="阿里巴巴普惠体"/>
                <w:b/>
                <w:color w:val="444444"/>
                <w:kern w:val="0"/>
                <w:sz w:val="24"/>
                <w:szCs w:val="28"/>
              </w:rPr>
            </w:pPr>
            <w:r>
              <w:rPr>
                <w:rFonts w:hint="eastAsia" w:ascii="宋体" w:hAnsi="宋体" w:eastAsia="宋体" w:cs="阿里巴巴普惠体"/>
                <w:b/>
                <w:color w:val="444444"/>
                <w:kern w:val="0"/>
                <w:sz w:val="24"/>
                <w:szCs w:val="28"/>
              </w:rPr>
              <w:t>数量</w:t>
            </w:r>
          </w:p>
        </w:tc>
        <w:tc>
          <w:tcPr>
            <w:tcW w:w="1110" w:type="dxa"/>
            <w:tcBorders>
              <w:tl2br w:val="nil"/>
              <w:tr2bl w:val="nil"/>
            </w:tcBorders>
            <w:tcMar>
              <w:top w:w="0" w:type="dxa"/>
              <w:left w:w="225" w:type="dxa"/>
              <w:bottom w:w="0" w:type="dxa"/>
              <w:right w:w="225" w:type="dxa"/>
            </w:tcMar>
            <w:vAlign w:val="bottom"/>
          </w:tcPr>
          <w:p>
            <w:pPr>
              <w:widowControl/>
              <w:spacing w:line="450" w:lineRule="atLeast"/>
              <w:jc w:val="center"/>
              <w:textAlignment w:val="baseline"/>
              <w:rPr>
                <w:rFonts w:ascii="宋体" w:hAnsi="宋体" w:eastAsia="宋体" w:cs="阿里巴巴普惠体"/>
                <w:b/>
                <w:color w:val="444444"/>
                <w:kern w:val="0"/>
                <w:sz w:val="24"/>
                <w:szCs w:val="28"/>
              </w:rPr>
            </w:pPr>
            <w:r>
              <w:rPr>
                <w:rFonts w:hint="eastAsia" w:ascii="宋体" w:hAnsi="宋体" w:eastAsia="宋体" w:cs="阿里巴巴普惠体"/>
                <w:b/>
                <w:color w:val="444444"/>
                <w:kern w:val="0"/>
                <w:sz w:val="24"/>
                <w:szCs w:val="28"/>
              </w:rPr>
              <w:t>单位</w:t>
            </w:r>
          </w:p>
        </w:tc>
        <w:tc>
          <w:tcPr>
            <w:tcW w:w="1005" w:type="dxa"/>
            <w:tcBorders>
              <w:tl2br w:val="nil"/>
              <w:tr2bl w:val="nil"/>
            </w:tcBorders>
            <w:tcMar>
              <w:top w:w="0" w:type="dxa"/>
              <w:left w:w="225" w:type="dxa"/>
              <w:bottom w:w="0" w:type="dxa"/>
              <w:right w:w="225" w:type="dxa"/>
            </w:tcMar>
            <w:vAlign w:val="bottom"/>
          </w:tcPr>
          <w:p>
            <w:pPr>
              <w:widowControl/>
              <w:spacing w:line="450" w:lineRule="atLeast"/>
              <w:jc w:val="center"/>
              <w:textAlignment w:val="baseline"/>
              <w:rPr>
                <w:rFonts w:hint="eastAsia" w:ascii="宋体" w:hAnsi="宋体" w:eastAsia="宋体" w:cs="阿里巴巴普惠体"/>
                <w:b/>
                <w:color w:val="444444"/>
                <w:kern w:val="0"/>
                <w:sz w:val="24"/>
                <w:szCs w:val="28"/>
                <w:lang w:val="en-US" w:eastAsia="zh-CN"/>
              </w:rPr>
            </w:pPr>
            <w:r>
              <w:rPr>
                <w:rFonts w:hint="eastAsia" w:ascii="宋体" w:hAnsi="宋体" w:eastAsia="宋体" w:cs="阿里巴巴普惠体"/>
                <w:b/>
                <w:color w:val="444444"/>
                <w:kern w:val="0"/>
                <w:sz w:val="24"/>
                <w:szCs w:val="28"/>
                <w:lang w:val="en-US" w:eastAsia="zh-CN"/>
              </w:rPr>
              <w:t>备注</w:t>
            </w:r>
          </w:p>
        </w:tc>
      </w:tr>
      <w:tr>
        <w:tblPrEx>
          <w:tblBorders>
            <w:top w:val="single" w:color="E6E6E6" w:sz="6" w:space="0"/>
            <w:left w:val="single" w:color="E6E6E6" w:sz="6" w:space="0"/>
            <w:bottom w:val="single" w:color="E6E6E6" w:sz="6" w:space="0"/>
            <w:right w:val="single" w:color="E6E6E6" w:sz="6" w:space="0"/>
            <w:insideH w:val="single" w:color="E6E6E6" w:sz="6" w:space="0"/>
            <w:insideV w:val="single" w:color="E6E6E6" w:sz="6" w:space="0"/>
          </w:tblBorders>
          <w:tblLayout w:type="fixed"/>
          <w:tblCellMar>
            <w:top w:w="0" w:type="dxa"/>
            <w:left w:w="0" w:type="dxa"/>
            <w:bottom w:w="0" w:type="dxa"/>
            <w:right w:w="0" w:type="dxa"/>
          </w:tblCellMar>
        </w:tblPrEx>
        <w:trPr>
          <w:tblCellSpacing w:w="0" w:type="dxa"/>
        </w:trPr>
        <w:tc>
          <w:tcPr>
            <w:tcW w:w="113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b/>
                <w:color w:val="444444"/>
                <w:kern w:val="0"/>
                <w:sz w:val="22"/>
                <w:szCs w:val="28"/>
                <w:lang w:eastAsia="zh-CN"/>
              </w:rPr>
            </w:pPr>
            <w:r>
              <w:rPr>
                <w:rFonts w:hint="eastAsia" w:ascii="宋体" w:hAnsi="宋体" w:eastAsia="宋体" w:cs="阿里巴巴普惠体"/>
                <w:b/>
                <w:color w:val="444444"/>
                <w:kern w:val="0"/>
                <w:sz w:val="22"/>
                <w:szCs w:val="28"/>
                <w:lang w:val="en-US" w:eastAsia="zh-CN"/>
              </w:rPr>
              <w:t>一</w:t>
            </w:r>
          </w:p>
        </w:tc>
        <w:tc>
          <w:tcPr>
            <w:tcW w:w="2166"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b/>
                <w:color w:val="444444"/>
                <w:kern w:val="0"/>
                <w:sz w:val="22"/>
                <w:szCs w:val="28"/>
              </w:rPr>
            </w:pPr>
            <w:r>
              <w:rPr>
                <w:rFonts w:hint="eastAsia" w:ascii="宋体" w:hAnsi="宋体" w:eastAsia="宋体" w:cs="阿里巴巴普惠体"/>
                <w:b/>
                <w:color w:val="444444"/>
                <w:kern w:val="0"/>
                <w:sz w:val="22"/>
                <w:szCs w:val="28"/>
                <w:lang w:val="en-US" w:eastAsia="zh-CN"/>
              </w:rPr>
              <w:t>自动化立体库</w:t>
            </w:r>
            <w:r>
              <w:rPr>
                <w:rFonts w:hint="eastAsia" w:ascii="宋体" w:hAnsi="宋体" w:eastAsia="宋体" w:cs="阿里巴巴普惠体"/>
                <w:b/>
                <w:color w:val="444444"/>
                <w:kern w:val="0"/>
                <w:sz w:val="22"/>
                <w:szCs w:val="28"/>
              </w:rPr>
              <w:t>维保</w:t>
            </w:r>
          </w:p>
        </w:tc>
        <w:tc>
          <w:tcPr>
            <w:tcW w:w="7650" w:type="dxa"/>
            <w:tcBorders>
              <w:tl2br w:val="nil"/>
              <w:tr2bl w:val="nil"/>
            </w:tcBorders>
            <w:vAlign w:val="top"/>
          </w:tcPr>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一、硬件检查与维护</w:t>
            </w:r>
          </w:p>
          <w:p>
            <w:pPr>
              <w:widowControl/>
              <w:numPr>
                <w:ilvl w:val="0"/>
                <w:numId w:val="0"/>
              </w:numPr>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rPr>
              <w:t>1</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rPr>
              <w:t>堆垛机底部、顶部横梁组件</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2、</w:t>
            </w:r>
            <w:r>
              <w:rPr>
                <w:rFonts w:hint="eastAsia" w:ascii="宋体" w:hAnsi="宋体" w:eastAsia="宋体" w:cs="阿里巴巴普惠体"/>
                <w:color w:val="444444"/>
                <w:kern w:val="0"/>
                <w:sz w:val="22"/>
                <w:szCs w:val="28"/>
              </w:rPr>
              <w:t>堆垛机行走轮及靠轮间隙</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lang w:val="en-US" w:eastAsia="zh-CN"/>
              </w:rPr>
              <w:t>堆垛机水平校准（深度）（检查周期：每3个月一次）</w:t>
            </w:r>
          </w:p>
          <w:p>
            <w:pPr>
              <w:widowControl/>
              <w:numPr>
                <w:ilvl w:val="0"/>
                <w:numId w:val="0"/>
              </w:numPr>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3、</w:t>
            </w:r>
            <w:r>
              <w:rPr>
                <w:rFonts w:hint="eastAsia" w:ascii="宋体" w:hAnsi="宋体" w:eastAsia="宋体" w:cs="阿里巴巴普惠体"/>
                <w:color w:val="444444"/>
                <w:kern w:val="0"/>
                <w:sz w:val="22"/>
                <w:szCs w:val="28"/>
              </w:rPr>
              <w:t>减速电机及刹车装置</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4、</w:t>
            </w:r>
            <w:r>
              <w:rPr>
                <w:rFonts w:hint="eastAsia" w:ascii="宋体" w:hAnsi="宋体" w:eastAsia="宋体" w:cs="阿里巴巴普惠体"/>
                <w:color w:val="444444"/>
                <w:kern w:val="0"/>
                <w:sz w:val="22"/>
                <w:szCs w:val="28"/>
              </w:rPr>
              <w:t>激光定位装置</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rPr>
              <w:t>货叉行走位置</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rPr>
              <w:t>过载防坠装置</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rPr>
              <w:t>天地轨、极限位置</w:t>
            </w:r>
            <w:r>
              <w:rPr>
                <w:rFonts w:hint="eastAsia" w:ascii="宋体" w:hAnsi="宋体" w:eastAsia="宋体" w:cs="阿里巴巴普惠体"/>
                <w:color w:val="444444"/>
                <w:kern w:val="0"/>
                <w:sz w:val="22"/>
                <w:szCs w:val="28"/>
                <w:lang w:val="en-US" w:eastAsia="zh-CN"/>
              </w:rPr>
              <w:t>及</w:t>
            </w:r>
            <w:r>
              <w:rPr>
                <w:rFonts w:hint="eastAsia" w:ascii="宋体" w:hAnsi="宋体" w:eastAsia="宋体" w:cs="阿里巴巴普惠体"/>
                <w:color w:val="444444"/>
                <w:kern w:val="0"/>
                <w:sz w:val="22"/>
                <w:szCs w:val="28"/>
              </w:rPr>
              <w:t>缓冲装置</w:t>
            </w:r>
            <w:r>
              <w:rPr>
                <w:rFonts w:hint="eastAsia" w:ascii="宋体" w:hAnsi="宋体" w:eastAsia="宋体" w:cs="阿里巴巴普惠体"/>
                <w:color w:val="444444"/>
                <w:kern w:val="0"/>
                <w:sz w:val="22"/>
                <w:szCs w:val="28"/>
                <w:lang w:val="en-US" w:eastAsia="zh-CN"/>
              </w:rPr>
              <w:t>检查（检查周期：每3个月一次）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5,、</w:t>
            </w:r>
            <w:r>
              <w:rPr>
                <w:rFonts w:hint="eastAsia" w:ascii="宋体" w:hAnsi="宋体" w:eastAsia="宋体" w:cs="阿里巴巴普惠体"/>
                <w:color w:val="444444"/>
                <w:kern w:val="0"/>
                <w:sz w:val="22"/>
                <w:szCs w:val="28"/>
              </w:rPr>
              <w:t>爬梯、人员踏台</w:t>
            </w:r>
            <w:r>
              <w:rPr>
                <w:rFonts w:hint="eastAsia" w:ascii="宋体" w:hAnsi="宋体" w:eastAsia="宋体" w:cs="阿里巴巴普惠体"/>
                <w:color w:val="444444"/>
                <w:kern w:val="0"/>
                <w:sz w:val="22"/>
                <w:szCs w:val="28"/>
                <w:lang w:val="en-US" w:eastAsia="zh-CN"/>
              </w:rPr>
              <w:t>及立柱检查（检查周期：每3个月一次）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6、</w:t>
            </w:r>
            <w:r>
              <w:rPr>
                <w:rFonts w:hint="eastAsia" w:ascii="宋体" w:hAnsi="宋体" w:eastAsia="宋体" w:cs="阿里巴巴普惠体"/>
                <w:color w:val="444444"/>
                <w:kern w:val="0"/>
                <w:sz w:val="22"/>
                <w:szCs w:val="28"/>
              </w:rPr>
              <w:t>载货台超限、货物检测传感器</w:t>
            </w:r>
            <w:r>
              <w:rPr>
                <w:rFonts w:hint="eastAsia" w:ascii="宋体" w:hAnsi="宋体" w:eastAsia="宋体" w:cs="阿里巴巴普惠体"/>
                <w:color w:val="444444"/>
                <w:kern w:val="0"/>
                <w:sz w:val="22"/>
                <w:szCs w:val="28"/>
                <w:lang w:val="en-US" w:eastAsia="zh-CN"/>
              </w:rPr>
              <w:t>检查及校准（检查周期：每3个月一次）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7、</w:t>
            </w:r>
            <w:r>
              <w:rPr>
                <w:rFonts w:hint="eastAsia" w:ascii="宋体" w:hAnsi="宋体" w:eastAsia="宋体" w:cs="阿里巴巴普惠体"/>
                <w:color w:val="444444"/>
                <w:kern w:val="0"/>
                <w:sz w:val="22"/>
                <w:szCs w:val="28"/>
              </w:rPr>
              <w:t>载货台水平度</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8、双插臂链条磨损与张紧度检查（检查周期：每3个月一次）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9、所有的安全设施（检查周期：每3个月一次）</w:t>
            </w:r>
          </w:p>
          <w:p>
            <w:pPr>
              <w:widowControl/>
              <w:numPr>
                <w:ilvl w:val="0"/>
                <w:numId w:val="0"/>
              </w:numPr>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10、相关安全的标记标识清晰（检查周期：每3个月一次）</w:t>
            </w:r>
          </w:p>
          <w:p>
            <w:pPr>
              <w:widowControl/>
              <w:numPr>
                <w:ilvl w:val="0"/>
                <w:numId w:val="0"/>
              </w:numPr>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11、</w:t>
            </w:r>
            <w:r>
              <w:rPr>
                <w:rFonts w:hint="eastAsia" w:ascii="宋体" w:hAnsi="宋体" w:eastAsia="宋体" w:cs="阿里巴巴普惠体"/>
                <w:color w:val="444444"/>
                <w:kern w:val="0"/>
                <w:sz w:val="22"/>
                <w:szCs w:val="28"/>
              </w:rPr>
              <w:t>触摸屏、电控柜、指示灯</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12、</w:t>
            </w:r>
            <w:r>
              <w:rPr>
                <w:rFonts w:hint="eastAsia" w:ascii="宋体" w:hAnsi="宋体" w:eastAsia="宋体" w:cs="阿里巴巴普惠体"/>
                <w:color w:val="444444"/>
                <w:kern w:val="0"/>
                <w:sz w:val="22"/>
                <w:szCs w:val="28"/>
              </w:rPr>
              <w:t>人工测试堆垛机动作</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13、 堆垛机安全装置、导轮磨损及升降钢丝绳检查（检查周期：每3个月一次）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14、主轴连接块检查（检查周期：每3个月一次）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15、电缆，接地线和屏蔽线（检查周期：每3个月一次）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16、堆垛机运行不正常噪音检查（检查周期：每3个月一次）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17、巷道的轨道平整度检查</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18、</w:t>
            </w:r>
            <w:r>
              <w:rPr>
                <w:rFonts w:hint="eastAsia" w:ascii="宋体" w:hAnsi="宋体" w:eastAsia="宋体" w:cs="阿里巴巴普惠体"/>
                <w:color w:val="444444"/>
                <w:kern w:val="0"/>
                <w:sz w:val="22"/>
                <w:szCs w:val="28"/>
                <w:highlight w:val="none"/>
              </w:rPr>
              <w:t>各润滑部件加注润滑剂</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19、立库内托盘位置摆放检查</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二、系统、软件维护（检查周期：每3个月一次）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 库前显示系统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2 库台设备</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3 安全门</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4 无线通讯系统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5 堆垛机信号传输系统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6 主服务器</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7 控制室主电控系统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8 WMS系统</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9 WCS系统</w:t>
            </w:r>
          </w:p>
        </w:tc>
        <w:tc>
          <w:tcPr>
            <w:tcW w:w="1014"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ascii="宋体" w:hAnsi="宋体" w:eastAsia="宋体" w:cs="阿里巴巴普惠体"/>
                <w:color w:val="444444"/>
                <w:kern w:val="0"/>
                <w:sz w:val="22"/>
                <w:szCs w:val="28"/>
              </w:rPr>
              <w:t>7</w:t>
            </w:r>
          </w:p>
        </w:tc>
        <w:tc>
          <w:tcPr>
            <w:tcW w:w="1110"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rPr>
              <w:t>台</w:t>
            </w:r>
          </w:p>
        </w:tc>
        <w:tc>
          <w:tcPr>
            <w:tcW w:w="100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color w:val="444444"/>
                <w:kern w:val="0"/>
                <w:sz w:val="22"/>
                <w:szCs w:val="28"/>
              </w:rPr>
            </w:pPr>
          </w:p>
        </w:tc>
      </w:tr>
      <w:tr>
        <w:tblPrEx>
          <w:tblBorders>
            <w:top w:val="single" w:color="E6E6E6" w:sz="6" w:space="0"/>
            <w:left w:val="single" w:color="E6E6E6" w:sz="6" w:space="0"/>
            <w:bottom w:val="single" w:color="E6E6E6" w:sz="6" w:space="0"/>
            <w:right w:val="single" w:color="E6E6E6" w:sz="6" w:space="0"/>
            <w:insideH w:val="single" w:color="E6E6E6" w:sz="6" w:space="0"/>
            <w:insideV w:val="single" w:color="E6E6E6" w:sz="6" w:space="0"/>
          </w:tblBorders>
          <w:tblLayout w:type="fixed"/>
          <w:tblCellMar>
            <w:top w:w="0" w:type="dxa"/>
            <w:left w:w="0" w:type="dxa"/>
            <w:bottom w:w="0" w:type="dxa"/>
            <w:right w:w="0" w:type="dxa"/>
          </w:tblCellMar>
        </w:tblPrEx>
        <w:trPr>
          <w:tblCellSpacing w:w="0" w:type="dxa"/>
        </w:trPr>
        <w:tc>
          <w:tcPr>
            <w:tcW w:w="113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b/>
                <w:color w:val="444444"/>
                <w:kern w:val="0"/>
                <w:sz w:val="22"/>
                <w:szCs w:val="28"/>
                <w:lang w:val="en-US" w:eastAsia="zh-CN"/>
              </w:rPr>
            </w:pPr>
            <w:r>
              <w:rPr>
                <w:rFonts w:hint="eastAsia" w:ascii="宋体" w:hAnsi="宋体" w:eastAsia="宋体" w:cs="阿里巴巴普惠体"/>
                <w:b/>
                <w:color w:val="444444"/>
                <w:kern w:val="0"/>
                <w:sz w:val="22"/>
                <w:szCs w:val="28"/>
                <w:lang w:val="en-US" w:eastAsia="zh-CN"/>
              </w:rPr>
              <w:t>二</w:t>
            </w:r>
          </w:p>
        </w:tc>
        <w:tc>
          <w:tcPr>
            <w:tcW w:w="2166"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b/>
                <w:color w:val="444444"/>
                <w:kern w:val="0"/>
                <w:sz w:val="22"/>
                <w:szCs w:val="28"/>
              </w:rPr>
            </w:pPr>
            <w:r>
              <w:rPr>
                <w:rFonts w:hint="eastAsia" w:ascii="宋体" w:hAnsi="宋体" w:eastAsia="宋体" w:cs="阿里巴巴普惠体"/>
                <w:b/>
                <w:color w:val="444444"/>
                <w:kern w:val="0"/>
                <w:sz w:val="22"/>
                <w:szCs w:val="28"/>
                <w:lang w:val="en-US" w:eastAsia="zh-CN"/>
              </w:rPr>
              <w:t>自动货柜</w:t>
            </w:r>
            <w:r>
              <w:rPr>
                <w:rFonts w:hint="eastAsia" w:ascii="宋体" w:hAnsi="宋体" w:eastAsia="宋体" w:cs="阿里巴巴普惠体"/>
                <w:b/>
                <w:color w:val="444444"/>
                <w:kern w:val="0"/>
                <w:sz w:val="22"/>
                <w:szCs w:val="28"/>
              </w:rPr>
              <w:t>维保</w:t>
            </w:r>
          </w:p>
        </w:tc>
        <w:tc>
          <w:tcPr>
            <w:tcW w:w="7650" w:type="dxa"/>
            <w:tcBorders>
              <w:tl2br w:val="nil"/>
              <w:tr2bl w:val="nil"/>
            </w:tcBorders>
            <w:vAlign w:val="top"/>
          </w:tcPr>
          <w:p>
            <w:pPr>
              <w:widowControl/>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一、硬件检查与维护</w:t>
            </w:r>
          </w:p>
          <w:p>
            <w:pPr>
              <w:widowControl/>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w:t>
            </w:r>
            <w:r>
              <w:rPr>
                <w:rFonts w:hint="eastAsia" w:ascii="宋体" w:hAnsi="宋体" w:eastAsia="宋体" w:cs="阿里巴巴普惠体"/>
                <w:color w:val="444444"/>
                <w:kern w:val="0"/>
                <w:sz w:val="22"/>
                <w:szCs w:val="28"/>
              </w:rPr>
              <w:t>减速电机</w:t>
            </w:r>
            <w:r>
              <w:rPr>
                <w:rFonts w:hint="eastAsia" w:ascii="宋体" w:hAnsi="宋体" w:eastAsia="宋体" w:cs="阿里巴巴普惠体"/>
                <w:color w:val="444444"/>
                <w:kern w:val="0"/>
                <w:sz w:val="22"/>
                <w:szCs w:val="28"/>
                <w:lang w:eastAsia="zh-CN"/>
              </w:rPr>
              <w:t>、</w:t>
            </w:r>
            <w:r>
              <w:rPr>
                <w:rFonts w:hint="eastAsia" w:ascii="宋体" w:hAnsi="宋体" w:eastAsia="宋体" w:cs="阿里巴巴普惠体"/>
                <w:color w:val="444444"/>
                <w:kern w:val="0"/>
                <w:sz w:val="22"/>
                <w:szCs w:val="28"/>
              </w:rPr>
              <w:t>刹车装置</w:t>
            </w:r>
            <w:r>
              <w:rPr>
                <w:rFonts w:hint="eastAsia" w:ascii="宋体" w:hAnsi="宋体" w:eastAsia="宋体" w:cs="阿里巴巴普惠体"/>
                <w:color w:val="444444"/>
                <w:kern w:val="0"/>
                <w:sz w:val="22"/>
                <w:szCs w:val="28"/>
                <w:lang w:val="en-US" w:eastAsia="zh-CN"/>
              </w:rPr>
              <w:t>及传动组件检查（检查周期：每3个月一次）</w:t>
            </w:r>
          </w:p>
          <w:p>
            <w:pPr>
              <w:widowControl/>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2、升降机的水平校准（深度方向水平校准）</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3、主轴链接块检查</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4、接近开关检查</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highlight w:val="none"/>
                <w:lang w:val="en-US" w:eastAsia="zh-CN"/>
              </w:rPr>
              <w:t>5、挂耳未知的检查</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6、</w:t>
            </w:r>
            <w:r>
              <w:rPr>
                <w:rFonts w:hint="eastAsia" w:ascii="宋体" w:hAnsi="宋体" w:eastAsia="宋体" w:cs="阿里巴巴普惠体"/>
                <w:color w:val="444444"/>
                <w:kern w:val="0"/>
                <w:sz w:val="22"/>
                <w:szCs w:val="28"/>
              </w:rPr>
              <w:t>高度检测系统</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ascii="宋体" w:hAnsi="宋体" w:eastAsia="宋体" w:cs="阿里巴巴普惠体"/>
                <w:color w:val="444444"/>
                <w:kern w:val="0"/>
                <w:sz w:val="22"/>
                <w:szCs w:val="28"/>
                <w:highlight w:val="none"/>
              </w:rPr>
            </w:pPr>
            <w:r>
              <w:rPr>
                <w:rFonts w:hint="eastAsia" w:ascii="宋体" w:hAnsi="宋体" w:eastAsia="宋体" w:cs="阿里巴巴普惠体"/>
                <w:color w:val="444444"/>
                <w:kern w:val="0"/>
                <w:sz w:val="22"/>
                <w:szCs w:val="28"/>
                <w:lang w:val="en-US" w:eastAsia="zh-CN"/>
              </w:rPr>
              <w:t>7、</w:t>
            </w:r>
            <w:r>
              <w:rPr>
                <w:rFonts w:hint="eastAsia" w:ascii="宋体" w:hAnsi="宋体" w:eastAsia="宋体" w:cs="阿里巴巴普惠体"/>
                <w:color w:val="444444"/>
                <w:kern w:val="0"/>
                <w:sz w:val="22"/>
                <w:szCs w:val="28"/>
              </w:rPr>
              <w:t>各传感器状态</w:t>
            </w:r>
            <w:r>
              <w:rPr>
                <w:rFonts w:hint="eastAsia" w:ascii="宋体" w:hAnsi="宋体" w:eastAsia="宋体" w:cs="阿里巴巴普惠体"/>
                <w:color w:val="444444"/>
                <w:kern w:val="0"/>
                <w:sz w:val="22"/>
                <w:szCs w:val="28"/>
                <w:lang w:val="en-US" w:eastAsia="zh-CN"/>
              </w:rPr>
              <w:t>检查</w:t>
            </w:r>
            <w:r>
              <w:rPr>
                <w:rFonts w:ascii="宋体" w:hAnsi="宋体" w:eastAsia="宋体" w:cs="阿里巴巴普惠体"/>
                <w:color w:val="444444"/>
                <w:kern w:val="0"/>
                <w:sz w:val="22"/>
                <w:szCs w:val="28"/>
                <w:highlight w:val="none"/>
              </w:rPr>
              <w:t xml:space="preserve"> </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8、</w:t>
            </w:r>
            <w:r>
              <w:rPr>
                <w:rFonts w:hint="eastAsia" w:ascii="宋体" w:hAnsi="宋体" w:eastAsia="宋体" w:cs="阿里巴巴普惠体"/>
                <w:color w:val="444444"/>
                <w:kern w:val="0"/>
                <w:sz w:val="22"/>
                <w:szCs w:val="28"/>
              </w:rPr>
              <w:t>工作台称重系统</w:t>
            </w:r>
            <w:r>
              <w:rPr>
                <w:rFonts w:hint="eastAsia" w:ascii="宋体" w:hAnsi="宋体" w:eastAsia="宋体" w:cs="阿里巴巴普惠体"/>
                <w:color w:val="444444"/>
                <w:kern w:val="0"/>
                <w:sz w:val="22"/>
                <w:szCs w:val="28"/>
                <w:lang w:val="en-US" w:eastAsia="zh-CN"/>
              </w:rPr>
              <w:t>（检查周期：每3个月一次）</w:t>
            </w:r>
          </w:p>
          <w:p>
            <w:pPr>
              <w:widowControl/>
              <w:spacing w:line="450" w:lineRule="atLeast"/>
              <w:jc w:val="left"/>
              <w:textAlignment w:val="baseline"/>
              <w:rPr>
                <w:rFonts w:hint="eastAsia"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lang w:val="en-US" w:eastAsia="zh-CN"/>
              </w:rPr>
              <w:t>9、</w:t>
            </w:r>
            <w:r>
              <w:rPr>
                <w:rFonts w:hint="eastAsia" w:ascii="宋体" w:hAnsi="宋体" w:eastAsia="宋体" w:cs="阿里巴巴普惠体"/>
                <w:color w:val="444444"/>
                <w:kern w:val="0"/>
                <w:sz w:val="22"/>
                <w:szCs w:val="28"/>
              </w:rPr>
              <w:t>人工测试货柜动作</w:t>
            </w:r>
            <w:r>
              <w:rPr>
                <w:rFonts w:hint="eastAsia" w:ascii="宋体" w:hAnsi="宋体" w:eastAsia="宋体" w:cs="阿里巴巴普惠体"/>
                <w:color w:val="444444"/>
                <w:kern w:val="0"/>
                <w:sz w:val="22"/>
                <w:szCs w:val="28"/>
                <w:lang w:val="en-US" w:eastAsia="zh-CN"/>
              </w:rPr>
              <w:t>（检查周期：每3个月一次）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10、不正常噪音检查（检查周期：每3个月一次）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11、相关安全标牌标识清晰（检查周期：每3个月一次）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12、所有的安全设施（人身及设备保护系统）（检查周期：每3个月一次）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13、库内的托盘位置摆放检查（检查周期：每6个月一次）</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14、</w:t>
            </w:r>
            <w:r>
              <w:rPr>
                <w:rFonts w:hint="eastAsia" w:ascii="宋体" w:hAnsi="宋体" w:eastAsia="宋体" w:cs="阿里巴巴普惠体"/>
                <w:color w:val="444444"/>
                <w:kern w:val="0"/>
                <w:sz w:val="22"/>
                <w:szCs w:val="28"/>
                <w:highlight w:val="none"/>
              </w:rPr>
              <w:t>各润滑部件加注润滑剂</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15、电缆，接地线和屏蔽线检查</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spacing w:line="450" w:lineRule="atLeast"/>
              <w:jc w:val="left"/>
              <w:textAlignment w:val="baseline"/>
              <w:rPr>
                <w:rFonts w:hint="default"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16、升降机链条、驱动</w:t>
            </w:r>
            <w:r>
              <w:rPr>
                <w:rFonts w:hint="eastAsia" w:ascii="宋体" w:hAnsi="宋体" w:eastAsia="宋体" w:cs="阿里巴巴普惠体"/>
                <w:color w:val="444444"/>
                <w:kern w:val="0"/>
                <w:sz w:val="22"/>
                <w:szCs w:val="28"/>
                <w:highlight w:val="none"/>
              </w:rPr>
              <w:t>链条状态</w:t>
            </w:r>
            <w:r>
              <w:rPr>
                <w:rFonts w:hint="eastAsia" w:ascii="宋体" w:hAnsi="宋体" w:eastAsia="宋体" w:cs="阿里巴巴普惠体"/>
                <w:color w:val="444444"/>
                <w:kern w:val="0"/>
                <w:sz w:val="22"/>
                <w:szCs w:val="28"/>
                <w:highlight w:val="none"/>
                <w:lang w:val="en-US" w:eastAsia="zh-CN"/>
              </w:rPr>
              <w:t>磨损检查及张紧度调节</w:t>
            </w:r>
            <w:r>
              <w:rPr>
                <w:rFonts w:hint="eastAsia" w:ascii="宋体" w:hAnsi="宋体" w:eastAsia="宋体" w:cs="阿里巴巴普惠体"/>
                <w:color w:val="444444"/>
                <w:kern w:val="0"/>
                <w:sz w:val="22"/>
                <w:szCs w:val="28"/>
                <w:highlight w:val="none"/>
                <w:lang w:eastAsia="zh-CN"/>
              </w:rPr>
              <w:t>（</w:t>
            </w:r>
            <w:r>
              <w:rPr>
                <w:rFonts w:hint="eastAsia" w:ascii="宋体" w:hAnsi="宋体" w:eastAsia="宋体" w:cs="阿里巴巴普惠体"/>
                <w:color w:val="444444"/>
                <w:kern w:val="0"/>
                <w:sz w:val="22"/>
                <w:szCs w:val="28"/>
                <w:highlight w:val="none"/>
                <w:lang w:val="en-US" w:eastAsia="zh-CN"/>
              </w:rPr>
              <w:t>检查周期：每6个月一次）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highlight w:val="none"/>
                <w:lang w:val="en-US" w:eastAsia="zh-CN"/>
              </w:rPr>
            </w:pPr>
            <w:r>
              <w:rPr>
                <w:rFonts w:hint="eastAsia" w:ascii="宋体" w:hAnsi="宋体" w:eastAsia="宋体" w:cs="阿里巴巴普惠体"/>
                <w:color w:val="444444"/>
                <w:kern w:val="0"/>
                <w:sz w:val="22"/>
                <w:szCs w:val="28"/>
                <w:highlight w:val="none"/>
                <w:lang w:val="en-US" w:eastAsia="zh-CN"/>
              </w:rPr>
              <w:t>二、系统、软件维护（检查周期：每3个月一次）</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 库前显示系统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2 库台设备</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3 安全门</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4 无线通讯系统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5 堆垛机信号传输系统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6 主服务器</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7 控制室主电控系统</w:t>
            </w:r>
          </w:p>
          <w:p>
            <w:pPr>
              <w:widowControl/>
              <w:numPr>
                <w:ilvl w:val="0"/>
                <w:numId w:val="0"/>
              </w:numPr>
              <w:spacing w:line="450" w:lineRule="atLeast"/>
              <w:jc w:val="lef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8 WMS系统</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9 WCS系统</w:t>
            </w:r>
          </w:p>
          <w:p>
            <w:pPr>
              <w:widowControl/>
              <w:numPr>
                <w:ilvl w:val="0"/>
                <w:numId w:val="0"/>
              </w:numPr>
              <w:spacing w:line="450" w:lineRule="atLeast"/>
              <w:jc w:val="left"/>
              <w:textAlignment w:val="baseline"/>
              <w:rPr>
                <w:rFonts w:hint="default" w:ascii="宋体" w:hAnsi="宋体" w:eastAsia="宋体" w:cs="阿里巴巴普惠体"/>
                <w:color w:val="444444"/>
                <w:kern w:val="0"/>
                <w:sz w:val="22"/>
                <w:szCs w:val="28"/>
                <w:lang w:val="en-US" w:eastAsia="zh-CN"/>
              </w:rPr>
            </w:pPr>
          </w:p>
        </w:tc>
        <w:tc>
          <w:tcPr>
            <w:tcW w:w="1014"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ascii="宋体" w:hAnsi="宋体" w:eastAsia="宋体" w:cs="阿里巴巴普惠体"/>
                <w:color w:val="444444"/>
                <w:kern w:val="0"/>
                <w:sz w:val="22"/>
                <w:szCs w:val="28"/>
              </w:rPr>
              <w:t>5</w:t>
            </w:r>
          </w:p>
        </w:tc>
        <w:tc>
          <w:tcPr>
            <w:tcW w:w="1110"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rPr>
              <w:t>台</w:t>
            </w:r>
          </w:p>
        </w:tc>
        <w:tc>
          <w:tcPr>
            <w:tcW w:w="100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color w:val="444444"/>
                <w:kern w:val="0"/>
                <w:sz w:val="22"/>
                <w:szCs w:val="28"/>
              </w:rPr>
            </w:pPr>
          </w:p>
        </w:tc>
      </w:tr>
      <w:tr>
        <w:tblPrEx>
          <w:tblBorders>
            <w:top w:val="single" w:color="E6E6E6" w:sz="6" w:space="0"/>
            <w:left w:val="single" w:color="E6E6E6" w:sz="6" w:space="0"/>
            <w:bottom w:val="single" w:color="E6E6E6" w:sz="6" w:space="0"/>
            <w:right w:val="single" w:color="E6E6E6" w:sz="6" w:space="0"/>
            <w:insideH w:val="single" w:color="E6E6E6" w:sz="6" w:space="0"/>
            <w:insideV w:val="single" w:color="E6E6E6" w:sz="6" w:space="0"/>
          </w:tblBorders>
          <w:tblLayout w:type="fixed"/>
          <w:tblCellMar>
            <w:top w:w="0" w:type="dxa"/>
            <w:left w:w="0" w:type="dxa"/>
            <w:bottom w:w="0" w:type="dxa"/>
            <w:right w:w="0" w:type="dxa"/>
          </w:tblCellMar>
        </w:tblPrEx>
        <w:trPr>
          <w:tblCellSpacing w:w="0" w:type="dxa"/>
        </w:trPr>
        <w:tc>
          <w:tcPr>
            <w:tcW w:w="113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b/>
                <w:color w:val="444444"/>
                <w:kern w:val="0"/>
                <w:sz w:val="22"/>
                <w:szCs w:val="28"/>
                <w:lang w:eastAsia="zh-CN"/>
              </w:rPr>
            </w:pPr>
            <w:r>
              <w:rPr>
                <w:rFonts w:hint="eastAsia" w:ascii="宋体" w:hAnsi="宋体" w:eastAsia="宋体" w:cs="阿里巴巴普惠体"/>
                <w:b/>
                <w:color w:val="444444"/>
                <w:kern w:val="0"/>
                <w:sz w:val="22"/>
                <w:szCs w:val="28"/>
                <w:lang w:val="en-US" w:eastAsia="zh-CN"/>
              </w:rPr>
              <w:t>三</w:t>
            </w:r>
          </w:p>
        </w:tc>
        <w:tc>
          <w:tcPr>
            <w:tcW w:w="2166" w:type="dxa"/>
            <w:tcBorders>
              <w:tl2br w:val="nil"/>
              <w:tr2bl w:val="nil"/>
            </w:tcBorders>
            <w:tcMar>
              <w:top w:w="0" w:type="dxa"/>
              <w:left w:w="225" w:type="dxa"/>
              <w:bottom w:w="0" w:type="dxa"/>
              <w:right w:w="225" w:type="dxa"/>
            </w:tcMar>
            <w:vAlign w:val="bottom"/>
          </w:tcPr>
          <w:p>
            <w:pPr>
              <w:widowControl/>
              <w:spacing w:line="720" w:lineRule="auto"/>
              <w:jc w:val="center"/>
              <w:textAlignment w:val="baseline"/>
              <w:rPr>
                <w:rFonts w:hint="default" w:ascii="宋体" w:hAnsi="宋体" w:eastAsia="宋体" w:cs="阿里巴巴普惠体"/>
                <w:b/>
                <w:color w:val="444444"/>
                <w:kern w:val="0"/>
                <w:sz w:val="22"/>
                <w:szCs w:val="28"/>
                <w:lang w:val="en-US" w:eastAsia="zh-CN"/>
              </w:rPr>
            </w:pPr>
            <w:r>
              <w:rPr>
                <w:rFonts w:hint="eastAsia" w:ascii="宋体" w:hAnsi="宋体" w:eastAsia="宋体" w:cs="阿里巴巴普惠体"/>
                <w:b/>
                <w:color w:val="444444"/>
                <w:kern w:val="0"/>
                <w:sz w:val="22"/>
                <w:szCs w:val="28"/>
                <w:lang w:val="en-US" w:eastAsia="zh-CN"/>
              </w:rPr>
              <w:t>其他服务</w:t>
            </w:r>
          </w:p>
        </w:tc>
        <w:tc>
          <w:tcPr>
            <w:tcW w:w="7650" w:type="dxa"/>
            <w:tcBorders>
              <w:tl2br w:val="nil"/>
              <w:tr2bl w:val="nil"/>
            </w:tcBorders>
            <w:vAlign w:val="top"/>
          </w:tcPr>
          <w:p>
            <w:pPr>
              <w:widowControl/>
              <w:spacing w:line="450" w:lineRule="atLeast"/>
              <w:textAlignment w:val="baseline"/>
              <w:rPr>
                <w:rFonts w:hint="default"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1、</w:t>
            </w:r>
            <w:r>
              <w:rPr>
                <w:rFonts w:hint="eastAsia" w:ascii="宋体" w:hAnsi="宋体" w:eastAsia="宋体" w:cs="阿里巴巴普惠体"/>
                <w:color w:val="444444"/>
                <w:kern w:val="0"/>
                <w:sz w:val="22"/>
                <w:szCs w:val="28"/>
              </w:rPr>
              <w:t>工程师7</w:t>
            </w:r>
            <w:r>
              <w:rPr>
                <w:rFonts w:ascii="宋体" w:hAnsi="宋体" w:eastAsia="宋体" w:cs="阿里巴巴普惠体"/>
                <w:color w:val="444444"/>
                <w:kern w:val="0"/>
                <w:sz w:val="22"/>
                <w:szCs w:val="28"/>
              </w:rPr>
              <w:t>*24</w:t>
            </w:r>
            <w:r>
              <w:rPr>
                <w:rFonts w:hint="eastAsia" w:ascii="宋体" w:hAnsi="宋体" w:eastAsia="宋体" w:cs="阿里巴巴普惠体"/>
                <w:color w:val="444444"/>
                <w:kern w:val="0"/>
                <w:sz w:val="22"/>
                <w:szCs w:val="28"/>
              </w:rPr>
              <w:t>小时</w:t>
            </w:r>
            <w:r>
              <w:rPr>
                <w:rFonts w:hint="eastAsia" w:ascii="宋体" w:hAnsi="宋体" w:eastAsia="宋体" w:cs="阿里巴巴普惠体"/>
                <w:color w:val="444444"/>
                <w:kern w:val="0"/>
                <w:sz w:val="22"/>
                <w:szCs w:val="28"/>
                <w:lang w:val="en-US" w:eastAsia="zh-CN"/>
              </w:rPr>
              <w:t>紧急响应（4小时到达现场，8小时故障排除）</w:t>
            </w:r>
          </w:p>
          <w:p>
            <w:pPr>
              <w:widowControl/>
              <w:spacing w:line="450" w:lineRule="atLeast"/>
              <w:textAlignment w:val="baseline"/>
              <w:rPr>
                <w:rFonts w:hint="eastAsia" w:ascii="宋体" w:hAnsi="宋体" w:eastAsia="宋体" w:cs="阿里巴巴普惠体"/>
                <w:color w:val="444444"/>
                <w:kern w:val="0"/>
                <w:sz w:val="22"/>
                <w:szCs w:val="28"/>
                <w:lang w:val="en-US" w:eastAsia="zh-CN"/>
              </w:rPr>
            </w:pPr>
            <w:r>
              <w:rPr>
                <w:rFonts w:hint="eastAsia" w:ascii="宋体" w:hAnsi="宋体" w:eastAsia="宋体" w:cs="阿里巴巴普惠体"/>
                <w:color w:val="444444"/>
                <w:kern w:val="0"/>
                <w:sz w:val="22"/>
                <w:szCs w:val="28"/>
                <w:lang w:val="en-US" w:eastAsia="zh-CN"/>
              </w:rPr>
              <w:t>2、每月上门回访一次</w:t>
            </w:r>
          </w:p>
          <w:p>
            <w:pPr>
              <w:widowControl/>
              <w:spacing w:line="450" w:lineRule="atLeast"/>
              <w:textAlignment w:val="baseline"/>
              <w:rPr>
                <w:rFonts w:hint="default" w:ascii="宋体" w:hAnsi="宋体" w:eastAsia="宋体" w:cs="阿里巴巴普惠体"/>
                <w:color w:val="444444"/>
                <w:kern w:val="0"/>
                <w:sz w:val="22"/>
                <w:szCs w:val="28"/>
                <w:lang w:val="en-US"/>
              </w:rPr>
            </w:pPr>
            <w:r>
              <w:rPr>
                <w:rFonts w:hint="eastAsia" w:ascii="宋体" w:hAnsi="宋体" w:eastAsia="宋体" w:cs="阿里巴巴普惠体"/>
                <w:color w:val="444444"/>
                <w:kern w:val="0"/>
                <w:sz w:val="22"/>
                <w:szCs w:val="28"/>
                <w:lang w:val="en-US" w:eastAsia="zh-CN"/>
              </w:rPr>
              <w:t>3、易损件全包（市场价5千元以下的</w:t>
            </w:r>
            <w:r>
              <w:rPr>
                <w:rFonts w:hint="eastAsia" w:ascii="宋体" w:hAnsi="宋体" w:cs="阿里巴巴普惠体"/>
                <w:color w:val="444444"/>
                <w:kern w:val="0"/>
                <w:sz w:val="22"/>
                <w:szCs w:val="28"/>
                <w:lang w:val="en-US" w:eastAsia="zh-CN"/>
              </w:rPr>
              <w:t>单个</w:t>
            </w:r>
            <w:r>
              <w:rPr>
                <w:rFonts w:hint="eastAsia" w:ascii="宋体" w:hAnsi="宋体" w:eastAsia="宋体" w:cs="阿里巴巴普惠体"/>
                <w:color w:val="444444"/>
                <w:kern w:val="0"/>
                <w:sz w:val="22"/>
                <w:szCs w:val="28"/>
                <w:lang w:val="en-US" w:eastAsia="zh-CN"/>
              </w:rPr>
              <w:t>配件全包）</w:t>
            </w:r>
          </w:p>
        </w:tc>
        <w:tc>
          <w:tcPr>
            <w:tcW w:w="1014"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rPr>
              <w:t>1</w:t>
            </w:r>
          </w:p>
        </w:tc>
        <w:tc>
          <w:tcPr>
            <w:tcW w:w="1110"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ascii="宋体" w:hAnsi="宋体" w:eastAsia="宋体" w:cs="阿里巴巴普惠体"/>
                <w:color w:val="444444"/>
                <w:kern w:val="0"/>
                <w:sz w:val="22"/>
                <w:szCs w:val="28"/>
              </w:rPr>
            </w:pPr>
            <w:r>
              <w:rPr>
                <w:rFonts w:hint="eastAsia" w:ascii="宋体" w:hAnsi="宋体" w:eastAsia="宋体" w:cs="阿里巴巴普惠体"/>
                <w:color w:val="444444"/>
                <w:kern w:val="0"/>
                <w:sz w:val="22"/>
                <w:szCs w:val="28"/>
              </w:rPr>
              <w:t>批</w:t>
            </w:r>
          </w:p>
        </w:tc>
        <w:tc>
          <w:tcPr>
            <w:tcW w:w="1005" w:type="dxa"/>
            <w:tcBorders>
              <w:tl2br w:val="nil"/>
              <w:tr2bl w:val="nil"/>
            </w:tcBorders>
            <w:tcMar>
              <w:top w:w="0" w:type="dxa"/>
              <w:left w:w="225" w:type="dxa"/>
              <w:bottom w:w="0" w:type="dxa"/>
              <w:right w:w="225" w:type="dxa"/>
            </w:tcMar>
            <w:vAlign w:val="center"/>
          </w:tcPr>
          <w:p>
            <w:pPr>
              <w:widowControl/>
              <w:spacing w:line="450" w:lineRule="atLeast"/>
              <w:jc w:val="center"/>
              <w:textAlignment w:val="baseline"/>
              <w:rPr>
                <w:rFonts w:hint="eastAsia" w:ascii="宋体" w:hAnsi="宋体" w:eastAsia="宋体" w:cs="阿里巴巴普惠体"/>
                <w:color w:val="444444"/>
                <w:kern w:val="0"/>
                <w:sz w:val="22"/>
                <w:szCs w:val="28"/>
              </w:rPr>
            </w:pPr>
          </w:p>
        </w:tc>
      </w:tr>
    </w:tbl>
    <w:p>
      <w:pPr>
        <w:rPr>
          <w:rFonts w:hint="default"/>
          <w:lang w:val="en-US" w:eastAsia="zh-CN"/>
        </w:rPr>
      </w:pPr>
    </w:p>
    <w:p>
      <w:pPr>
        <w:pStyle w:val="2"/>
        <w:jc w:val="both"/>
        <w:rPr>
          <w:rFonts w:hint="default" w:ascii="宋体" w:hAnsi="宋体" w:cs="阿里巴巴普惠体"/>
          <w:color w:val="444444"/>
          <w:sz w:val="22"/>
          <w:szCs w:val="28"/>
          <w:lang w:val="en-US" w:eastAsia="zh-CN"/>
        </w:rPr>
        <w:sectPr>
          <w:pgSz w:w="16838" w:h="11906" w:orient="landscape"/>
          <w:pgMar w:top="1440" w:right="1803" w:bottom="1440" w:left="1803" w:header="851" w:footer="992" w:gutter="0"/>
          <w:pgBorders>
            <w:top w:val="none" w:sz="0" w:space="0"/>
            <w:left w:val="none" w:sz="0" w:space="0"/>
            <w:bottom w:val="none" w:sz="0" w:space="0"/>
            <w:right w:val="none" w:sz="0" w:space="0"/>
          </w:pgBorders>
          <w:cols w:space="720" w:num="1"/>
          <w:rtlGutter w:val="0"/>
          <w:docGrid w:linePitch="315" w:charSpace="0"/>
        </w:sectPr>
      </w:pPr>
      <w:r>
        <w:rPr>
          <w:rFonts w:hint="eastAsia" w:ascii="宋体" w:hAnsi="宋体" w:cs="阿里巴巴普惠体"/>
          <w:color w:val="444444"/>
          <w:sz w:val="22"/>
          <w:szCs w:val="28"/>
          <w:lang w:val="en-US" w:eastAsia="zh-CN"/>
        </w:rPr>
        <w:t>注：保养周期为三个月一次，每次保养需在5个日历日内完成；保养周期为六个月一次，每次保养需在7个日历日内完成。</w:t>
      </w:r>
    </w:p>
    <w:p>
      <w:pPr>
        <w:pStyle w:val="2"/>
        <w:jc w:val="left"/>
        <w:rPr>
          <w:rFonts w:hint="default" w:ascii="方正小标宋简体" w:hAnsi="方正小标宋简体" w:eastAsia="方正小标宋简体" w:cs="方正小标宋简体"/>
          <w:sz w:val="36"/>
          <w:szCs w:val="36"/>
          <w:lang w:val="en-US"/>
        </w:rPr>
      </w:pPr>
      <w:r>
        <w:rPr>
          <w:rFonts w:hint="eastAsia" w:ascii="黑体" w:hAnsi="宋体" w:eastAsia="黑体"/>
          <w:b w:val="0"/>
          <w:kern w:val="2"/>
          <w:sz w:val="30"/>
          <w:szCs w:val="30"/>
          <w:highlight w:val="none"/>
          <w:lang w:val="en-US" w:eastAsia="zh-CN" w:bidi="ar-SA"/>
        </w:rPr>
        <w:t>九、维保验收单</w:t>
      </w:r>
    </w:p>
    <w:tbl>
      <w:tblPr>
        <w:tblStyle w:val="32"/>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640"/>
        <w:gridCol w:w="1500"/>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99" w:type="dxa"/>
            <w:tcBorders>
              <w:top w:val="single" w:color="auto" w:sz="12" w:space="0"/>
              <w:left w:val="single" w:color="auto" w:sz="12" w:space="0"/>
            </w:tcBorders>
            <w:vAlign w:val="center"/>
          </w:tcPr>
          <w:p>
            <w:pPr>
              <w:widowControl/>
              <w:jc w:val="center"/>
              <w:rPr>
                <w:rFonts w:hint="eastAsia" w:eastAsia="宋体"/>
                <w:sz w:val="24"/>
                <w:lang w:eastAsia="zh-CN"/>
              </w:rPr>
            </w:pPr>
            <w:r>
              <w:rPr>
                <w:rFonts w:hint="eastAsia"/>
                <w:sz w:val="24"/>
                <w:lang w:val="en-US" w:eastAsia="zh-CN"/>
              </w:rPr>
              <w:t>甲方</w:t>
            </w:r>
          </w:p>
        </w:tc>
        <w:tc>
          <w:tcPr>
            <w:tcW w:w="6938" w:type="dxa"/>
            <w:gridSpan w:val="3"/>
            <w:tcBorders>
              <w:top w:val="single" w:color="auto" w:sz="12" w:space="0"/>
              <w:righ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上海飞机客户服务有限公司（航材支援部）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99" w:type="dxa"/>
            <w:tcBorders>
              <w:top w:val="single" w:color="auto" w:sz="12" w:space="0"/>
              <w:left w:val="single" w:color="auto" w:sz="12" w:space="0"/>
            </w:tcBorders>
            <w:vAlign w:val="center"/>
          </w:tcPr>
          <w:p>
            <w:pPr>
              <w:widowControl/>
              <w:jc w:val="center"/>
              <w:rPr>
                <w:rFonts w:hint="default"/>
                <w:sz w:val="24"/>
                <w:lang w:val="en-US" w:eastAsia="zh-CN"/>
              </w:rPr>
            </w:pPr>
            <w:r>
              <w:rPr>
                <w:rFonts w:hint="eastAsia"/>
                <w:sz w:val="24"/>
                <w:lang w:val="en-US" w:eastAsia="zh-CN"/>
              </w:rPr>
              <w:t>乙方</w:t>
            </w:r>
          </w:p>
        </w:tc>
        <w:tc>
          <w:tcPr>
            <w:tcW w:w="6938" w:type="dxa"/>
            <w:gridSpan w:val="3"/>
            <w:tcBorders>
              <w:top w:val="single" w:color="auto" w:sz="12" w:space="0"/>
              <w:right w:val="single" w:color="auto" w:sz="12" w:space="0"/>
            </w:tcBorders>
            <w:vAlign w:val="center"/>
          </w:tcPr>
          <w:p>
            <w:pPr>
              <w:widowControl/>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599" w:type="dxa"/>
            <w:tcBorders>
              <w:left w:val="single" w:color="auto" w:sz="12" w:space="0"/>
            </w:tcBorders>
            <w:vAlign w:val="center"/>
          </w:tcPr>
          <w:p>
            <w:pPr>
              <w:widowControl/>
              <w:jc w:val="center"/>
              <w:rPr>
                <w:sz w:val="24"/>
              </w:rPr>
            </w:pPr>
            <w:r>
              <w:rPr>
                <w:sz w:val="24"/>
              </w:rPr>
              <w:t>资产名称</w:t>
            </w:r>
          </w:p>
        </w:tc>
        <w:tc>
          <w:tcPr>
            <w:tcW w:w="2640" w:type="dxa"/>
            <w:vAlign w:val="center"/>
          </w:tcPr>
          <w:p>
            <w:pPr>
              <w:widowControl/>
              <w:jc w:val="center"/>
              <w:rPr>
                <w:rFonts w:hint="default" w:eastAsia="宋体"/>
                <w:sz w:val="24"/>
                <w:lang w:val="en-US" w:eastAsia="zh-CN"/>
              </w:rPr>
            </w:pPr>
          </w:p>
        </w:tc>
        <w:tc>
          <w:tcPr>
            <w:tcW w:w="1500" w:type="dxa"/>
            <w:vAlign w:val="center"/>
          </w:tcPr>
          <w:p>
            <w:pPr>
              <w:widowControl/>
              <w:jc w:val="center"/>
              <w:rPr>
                <w:sz w:val="24"/>
              </w:rPr>
            </w:pPr>
            <w:r>
              <w:rPr>
                <w:sz w:val="24"/>
              </w:rPr>
              <w:t>资产编号</w:t>
            </w:r>
          </w:p>
        </w:tc>
        <w:tc>
          <w:tcPr>
            <w:tcW w:w="2798" w:type="dxa"/>
            <w:tcBorders>
              <w:right w:val="single" w:color="auto" w:sz="12" w:space="0"/>
            </w:tcBorders>
            <w:vAlign w:val="center"/>
          </w:tcPr>
          <w:p>
            <w:pPr>
              <w:widowControl/>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599" w:type="dxa"/>
            <w:tcBorders>
              <w:lef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报修日期</w:t>
            </w:r>
          </w:p>
        </w:tc>
        <w:tc>
          <w:tcPr>
            <w:tcW w:w="2640" w:type="dxa"/>
            <w:vAlign w:val="center"/>
          </w:tcPr>
          <w:p>
            <w:pPr>
              <w:widowControl/>
              <w:jc w:val="center"/>
              <w:rPr>
                <w:rFonts w:hint="default" w:eastAsia="宋体"/>
                <w:sz w:val="24"/>
                <w:lang w:val="en-US" w:eastAsia="zh-CN"/>
              </w:rPr>
            </w:pPr>
          </w:p>
        </w:tc>
        <w:tc>
          <w:tcPr>
            <w:tcW w:w="1500" w:type="dxa"/>
            <w:vAlign w:val="center"/>
          </w:tcPr>
          <w:p>
            <w:pPr>
              <w:widowControl/>
              <w:jc w:val="center"/>
              <w:rPr>
                <w:rFonts w:hint="default" w:eastAsia="宋体"/>
                <w:sz w:val="24"/>
                <w:lang w:val="en-US" w:eastAsia="zh-CN"/>
              </w:rPr>
            </w:pPr>
            <w:r>
              <w:rPr>
                <w:rFonts w:hint="eastAsia"/>
                <w:sz w:val="24"/>
                <w:lang w:val="en-US" w:eastAsia="zh-CN"/>
              </w:rPr>
              <w:t>维保日期</w:t>
            </w:r>
          </w:p>
        </w:tc>
        <w:tc>
          <w:tcPr>
            <w:tcW w:w="2798" w:type="dxa"/>
            <w:tcBorders>
              <w:right w:val="single" w:color="auto" w:sz="12" w:space="0"/>
            </w:tcBorders>
            <w:vAlign w:val="center"/>
          </w:tcPr>
          <w:p>
            <w:pPr>
              <w:widowControl/>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6" w:hRule="atLeast"/>
          <w:jc w:val="center"/>
        </w:trPr>
        <w:tc>
          <w:tcPr>
            <w:tcW w:w="1599" w:type="dxa"/>
            <w:tcBorders>
              <w:lef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维保明细</w:t>
            </w:r>
          </w:p>
        </w:tc>
        <w:tc>
          <w:tcPr>
            <w:tcW w:w="6938" w:type="dxa"/>
            <w:gridSpan w:val="3"/>
            <w:tcBorders>
              <w:right w:val="single" w:color="auto" w:sz="12" w:space="0"/>
            </w:tcBorders>
            <w:vAlign w:val="center"/>
          </w:tcPr>
          <w:p>
            <w:pPr>
              <w:widowControl/>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599" w:type="dxa"/>
            <w:tcBorders>
              <w:left w:val="single" w:color="auto" w:sz="12" w:space="0"/>
            </w:tcBorders>
            <w:vAlign w:val="center"/>
          </w:tcPr>
          <w:p>
            <w:pPr>
              <w:widowControl/>
              <w:jc w:val="center"/>
              <w:rPr>
                <w:sz w:val="24"/>
              </w:rPr>
            </w:pPr>
            <w:r>
              <w:rPr>
                <w:sz w:val="24"/>
              </w:rPr>
              <w:t>验收意见</w:t>
            </w:r>
          </w:p>
        </w:tc>
        <w:tc>
          <w:tcPr>
            <w:tcW w:w="6938" w:type="dxa"/>
            <w:gridSpan w:val="3"/>
            <w:tcBorders>
              <w:right w:val="single" w:color="auto" w:sz="12" w:space="0"/>
            </w:tcBorders>
            <w:vAlign w:val="center"/>
          </w:tcPr>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tc>
      </w:tr>
    </w:tbl>
    <w:p/>
    <w:p/>
    <w:p/>
    <w:p>
      <w:pPr>
        <w:widowControl/>
        <w:ind w:left="2520" w:leftChars="0" w:firstLine="420" w:firstLineChars="0"/>
        <w:jc w:val="center"/>
        <w:rPr>
          <w:rFonts w:hint="eastAsia"/>
          <w:sz w:val="24"/>
          <w:lang w:val="en-US" w:eastAsia="zh-CN"/>
        </w:rPr>
      </w:pPr>
      <w:r>
        <w:rPr>
          <w:rFonts w:hint="eastAsia"/>
          <w:sz w:val="24"/>
          <w:lang w:val="en-US" w:eastAsia="zh-CN"/>
        </w:rPr>
        <w:t>甲方签字人员：</w:t>
      </w:r>
    </w:p>
    <w:p>
      <w:pPr>
        <w:widowControl/>
        <w:jc w:val="center"/>
        <w:rPr>
          <w:rFonts w:hint="eastAsia"/>
          <w:sz w:val="24"/>
          <w:lang w:val="en-US" w:eastAsia="zh-CN"/>
        </w:rPr>
      </w:pPr>
    </w:p>
    <w:p>
      <w:pPr>
        <w:widowControl/>
        <w:jc w:val="center"/>
        <w:rPr>
          <w:rFonts w:hint="eastAsia"/>
          <w:sz w:val="24"/>
          <w:lang w:val="en-US" w:eastAsia="zh-CN"/>
        </w:rPr>
      </w:pPr>
    </w:p>
    <w:p>
      <w:pPr>
        <w:widowControl/>
        <w:ind w:left="2520" w:leftChars="0" w:firstLine="420" w:firstLineChars="0"/>
        <w:jc w:val="center"/>
        <w:rPr>
          <w:rFonts w:hint="default"/>
          <w:lang w:val="en-US" w:eastAsia="zh-CN"/>
        </w:rPr>
      </w:pPr>
      <w:r>
        <w:rPr>
          <w:rFonts w:hint="eastAsia"/>
          <w:sz w:val="24"/>
          <w:lang w:val="en-US" w:eastAsia="zh-CN"/>
        </w:rPr>
        <w:t>乙方签字人员：</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阿里巴巴普惠体">
    <w:altName w:val="宋体"/>
    <w:panose1 w:val="00020600040101010101"/>
    <w:charset w:val="86"/>
    <w:family w:val="roman"/>
    <w:pitch w:val="default"/>
    <w:sig w:usb0="00000000" w:usb1="00000000" w:usb2="0000001E"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5BE9E2F8"/>
    <w:multiLevelType w:val="singleLevel"/>
    <w:tmpl w:val="5BE9E2F8"/>
    <w:lvl w:ilvl="0" w:tentative="0">
      <w:start w:val="1"/>
      <w:numFmt w:val="lowerLetter"/>
      <w:lvlText w:val="%1."/>
      <w:lvlJc w:val="left"/>
      <w:pPr>
        <w:ind w:left="425" w:hanging="425"/>
      </w:pPr>
      <w:rPr>
        <w:rFonts w:hint="default"/>
      </w:rPr>
    </w:lvl>
  </w:abstractNum>
  <w:abstractNum w:abstractNumId="13">
    <w:nsid w:val="6F33820B"/>
    <w:multiLevelType w:val="singleLevel"/>
    <w:tmpl w:val="6F33820B"/>
    <w:lvl w:ilvl="0" w:tentative="0">
      <w:start w:val="1"/>
      <w:numFmt w:val="decimal"/>
      <w:lvlText w:val="%1."/>
      <w:lvlJc w:val="left"/>
      <w:pPr>
        <w:tabs>
          <w:tab w:val="left" w:pos="312"/>
        </w:tabs>
      </w:p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5"/>
  </w:num>
  <w:num w:numId="4">
    <w:abstractNumId w:val="1"/>
  </w:num>
  <w:num w:numId="5">
    <w:abstractNumId w:val="0"/>
  </w:num>
  <w:num w:numId="6">
    <w:abstractNumId w:val="3"/>
  </w:num>
  <w:num w:numId="7">
    <w:abstractNumId w:val="11"/>
  </w:num>
  <w:num w:numId="8">
    <w:abstractNumId w:val="10"/>
  </w:num>
  <w:num w:numId="9">
    <w:abstractNumId w:val="14"/>
  </w:num>
  <w:num w:numId="10">
    <w:abstractNumId w:val="7"/>
  </w:num>
  <w:num w:numId="11">
    <w:abstractNumId w:val="9"/>
  </w:num>
  <w:num w:numId="12">
    <w:abstractNumId w:val="12"/>
  </w:num>
  <w:num w:numId="13">
    <w:abstractNumId w:val="5"/>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500139"/>
    <w:rsid w:val="051D437B"/>
    <w:rsid w:val="05CE08B1"/>
    <w:rsid w:val="06137317"/>
    <w:rsid w:val="0621036A"/>
    <w:rsid w:val="065E5F7F"/>
    <w:rsid w:val="0670360C"/>
    <w:rsid w:val="067C4E90"/>
    <w:rsid w:val="069275E1"/>
    <w:rsid w:val="06A12A56"/>
    <w:rsid w:val="06EC34E9"/>
    <w:rsid w:val="06F517F0"/>
    <w:rsid w:val="0704425F"/>
    <w:rsid w:val="071C7C62"/>
    <w:rsid w:val="072169D1"/>
    <w:rsid w:val="08001925"/>
    <w:rsid w:val="08DB2CD5"/>
    <w:rsid w:val="090C4141"/>
    <w:rsid w:val="091B523C"/>
    <w:rsid w:val="09381A80"/>
    <w:rsid w:val="096762D6"/>
    <w:rsid w:val="0A005A35"/>
    <w:rsid w:val="0A3F657B"/>
    <w:rsid w:val="0A5E508E"/>
    <w:rsid w:val="0AC804D8"/>
    <w:rsid w:val="0B200E94"/>
    <w:rsid w:val="0B4B6FA0"/>
    <w:rsid w:val="0B7979E1"/>
    <w:rsid w:val="0B7C5D95"/>
    <w:rsid w:val="0B80309F"/>
    <w:rsid w:val="0BBE4F2B"/>
    <w:rsid w:val="0BDE32ED"/>
    <w:rsid w:val="0C2F504F"/>
    <w:rsid w:val="0CCF37E3"/>
    <w:rsid w:val="0CF2414E"/>
    <w:rsid w:val="0D452B30"/>
    <w:rsid w:val="0D4A7508"/>
    <w:rsid w:val="0D745881"/>
    <w:rsid w:val="0D851897"/>
    <w:rsid w:val="0DAD5CE9"/>
    <w:rsid w:val="0E1516F4"/>
    <w:rsid w:val="0E53500F"/>
    <w:rsid w:val="0E5F17BF"/>
    <w:rsid w:val="0E5F6EAC"/>
    <w:rsid w:val="0EAD6E00"/>
    <w:rsid w:val="0F543F79"/>
    <w:rsid w:val="0FB15903"/>
    <w:rsid w:val="0FE060A8"/>
    <w:rsid w:val="10D66F9B"/>
    <w:rsid w:val="10FE275C"/>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1911"/>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905493A"/>
    <w:rsid w:val="19116C4C"/>
    <w:rsid w:val="191E4BAF"/>
    <w:rsid w:val="19350136"/>
    <w:rsid w:val="193E46C0"/>
    <w:rsid w:val="19681D27"/>
    <w:rsid w:val="19F426A2"/>
    <w:rsid w:val="1A0D6AD1"/>
    <w:rsid w:val="1A270B23"/>
    <w:rsid w:val="1A3609FE"/>
    <w:rsid w:val="1A6C19AE"/>
    <w:rsid w:val="1ABB49D8"/>
    <w:rsid w:val="1B025470"/>
    <w:rsid w:val="1B441DEB"/>
    <w:rsid w:val="1B8B6B3B"/>
    <w:rsid w:val="1BDA60FC"/>
    <w:rsid w:val="1BE57156"/>
    <w:rsid w:val="1BEC650A"/>
    <w:rsid w:val="1C073CE1"/>
    <w:rsid w:val="1CDE5D4F"/>
    <w:rsid w:val="1D0704D7"/>
    <w:rsid w:val="1D8D48EF"/>
    <w:rsid w:val="1DC460EA"/>
    <w:rsid w:val="1E4D45F2"/>
    <w:rsid w:val="1F3A24AA"/>
    <w:rsid w:val="1F3B72D9"/>
    <w:rsid w:val="202F56BC"/>
    <w:rsid w:val="2036128B"/>
    <w:rsid w:val="203B3F64"/>
    <w:rsid w:val="20446A81"/>
    <w:rsid w:val="20781CFD"/>
    <w:rsid w:val="20BE3894"/>
    <w:rsid w:val="20C30808"/>
    <w:rsid w:val="20C57325"/>
    <w:rsid w:val="20F44010"/>
    <w:rsid w:val="21315EC9"/>
    <w:rsid w:val="2163494E"/>
    <w:rsid w:val="2204756D"/>
    <w:rsid w:val="223B4B41"/>
    <w:rsid w:val="224A5AB1"/>
    <w:rsid w:val="2263269E"/>
    <w:rsid w:val="22A07C3A"/>
    <w:rsid w:val="22AE014D"/>
    <w:rsid w:val="22B342AA"/>
    <w:rsid w:val="22EB1946"/>
    <w:rsid w:val="23324E68"/>
    <w:rsid w:val="23464D85"/>
    <w:rsid w:val="239E1CF6"/>
    <w:rsid w:val="23E946FC"/>
    <w:rsid w:val="24121853"/>
    <w:rsid w:val="244C68E1"/>
    <w:rsid w:val="24566371"/>
    <w:rsid w:val="245E1A25"/>
    <w:rsid w:val="24877038"/>
    <w:rsid w:val="25125F53"/>
    <w:rsid w:val="25284D29"/>
    <w:rsid w:val="25387E72"/>
    <w:rsid w:val="25577ED0"/>
    <w:rsid w:val="259122AC"/>
    <w:rsid w:val="25A227A8"/>
    <w:rsid w:val="263B3D7A"/>
    <w:rsid w:val="26684D52"/>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AE62B74"/>
    <w:rsid w:val="2B8B6165"/>
    <w:rsid w:val="2BFF2352"/>
    <w:rsid w:val="2C203ACA"/>
    <w:rsid w:val="2C73418E"/>
    <w:rsid w:val="2C8A4CBD"/>
    <w:rsid w:val="2CA77337"/>
    <w:rsid w:val="2CC47BE4"/>
    <w:rsid w:val="2D00520D"/>
    <w:rsid w:val="2D5847BF"/>
    <w:rsid w:val="2D91716B"/>
    <w:rsid w:val="2DD10AC0"/>
    <w:rsid w:val="2DE1186A"/>
    <w:rsid w:val="2DEB6203"/>
    <w:rsid w:val="2E0B037E"/>
    <w:rsid w:val="2E12020E"/>
    <w:rsid w:val="2EEF3774"/>
    <w:rsid w:val="2F3021BD"/>
    <w:rsid w:val="2F9B57AF"/>
    <w:rsid w:val="2FE55C1B"/>
    <w:rsid w:val="2FF15986"/>
    <w:rsid w:val="306F4921"/>
    <w:rsid w:val="3126769E"/>
    <w:rsid w:val="31503526"/>
    <w:rsid w:val="319D46FC"/>
    <w:rsid w:val="31B922F7"/>
    <w:rsid w:val="31F91FD1"/>
    <w:rsid w:val="32002D3D"/>
    <w:rsid w:val="32107124"/>
    <w:rsid w:val="32D42A5C"/>
    <w:rsid w:val="32DE53BE"/>
    <w:rsid w:val="32E8739E"/>
    <w:rsid w:val="332E1FAC"/>
    <w:rsid w:val="3340083E"/>
    <w:rsid w:val="334208C5"/>
    <w:rsid w:val="335419FA"/>
    <w:rsid w:val="335D4CB2"/>
    <w:rsid w:val="33E76528"/>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472B36"/>
    <w:rsid w:val="3A477C8B"/>
    <w:rsid w:val="3A8E58C2"/>
    <w:rsid w:val="3AA730B7"/>
    <w:rsid w:val="3AA91E24"/>
    <w:rsid w:val="3AD547A6"/>
    <w:rsid w:val="3AEE09AC"/>
    <w:rsid w:val="3B0A0CCF"/>
    <w:rsid w:val="3B0D4E28"/>
    <w:rsid w:val="3B447CE3"/>
    <w:rsid w:val="3B883160"/>
    <w:rsid w:val="3BC817D7"/>
    <w:rsid w:val="3BEA4ED6"/>
    <w:rsid w:val="3C4416C7"/>
    <w:rsid w:val="3C5B00D7"/>
    <w:rsid w:val="3CA70800"/>
    <w:rsid w:val="3CDF48D3"/>
    <w:rsid w:val="3CF64B27"/>
    <w:rsid w:val="3D086998"/>
    <w:rsid w:val="3D242598"/>
    <w:rsid w:val="3D352A2F"/>
    <w:rsid w:val="3D437C86"/>
    <w:rsid w:val="3DA33CF8"/>
    <w:rsid w:val="3DB06E52"/>
    <w:rsid w:val="3DB45CC8"/>
    <w:rsid w:val="3E020949"/>
    <w:rsid w:val="3E1E32B8"/>
    <w:rsid w:val="3E283E77"/>
    <w:rsid w:val="3E57494A"/>
    <w:rsid w:val="3E783174"/>
    <w:rsid w:val="3EAA76B2"/>
    <w:rsid w:val="3ED43EAB"/>
    <w:rsid w:val="3EF151E5"/>
    <w:rsid w:val="3F7917A8"/>
    <w:rsid w:val="3FB347AD"/>
    <w:rsid w:val="3FD873C0"/>
    <w:rsid w:val="40062050"/>
    <w:rsid w:val="403F22E5"/>
    <w:rsid w:val="40870040"/>
    <w:rsid w:val="408C3D95"/>
    <w:rsid w:val="408E5170"/>
    <w:rsid w:val="40B47BD4"/>
    <w:rsid w:val="40BE1A90"/>
    <w:rsid w:val="40E75FA9"/>
    <w:rsid w:val="412A2641"/>
    <w:rsid w:val="41426A1E"/>
    <w:rsid w:val="41913657"/>
    <w:rsid w:val="41A26732"/>
    <w:rsid w:val="41D93F68"/>
    <w:rsid w:val="42525837"/>
    <w:rsid w:val="42922C0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6406176"/>
    <w:rsid w:val="464F6CC4"/>
    <w:rsid w:val="4650709C"/>
    <w:rsid w:val="46757D3F"/>
    <w:rsid w:val="46C415BB"/>
    <w:rsid w:val="476C65B4"/>
    <w:rsid w:val="477B4F48"/>
    <w:rsid w:val="47B70E22"/>
    <w:rsid w:val="48312377"/>
    <w:rsid w:val="483823F0"/>
    <w:rsid w:val="48920822"/>
    <w:rsid w:val="48CE03CF"/>
    <w:rsid w:val="48D27BEE"/>
    <w:rsid w:val="492A1758"/>
    <w:rsid w:val="492E569F"/>
    <w:rsid w:val="4942504E"/>
    <w:rsid w:val="49B5288E"/>
    <w:rsid w:val="49C8494B"/>
    <w:rsid w:val="49D42A91"/>
    <w:rsid w:val="49D95585"/>
    <w:rsid w:val="49F7174C"/>
    <w:rsid w:val="4A1F7FB4"/>
    <w:rsid w:val="4A872D49"/>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E0A6DE5"/>
    <w:rsid w:val="4E0E1E1D"/>
    <w:rsid w:val="4E892901"/>
    <w:rsid w:val="4ED2389A"/>
    <w:rsid w:val="4ED84D74"/>
    <w:rsid w:val="4EFC30E6"/>
    <w:rsid w:val="4F18132B"/>
    <w:rsid w:val="4F7F7D3E"/>
    <w:rsid w:val="4F9255D1"/>
    <w:rsid w:val="4F9B322D"/>
    <w:rsid w:val="4F9D39CF"/>
    <w:rsid w:val="4FB677D0"/>
    <w:rsid w:val="4FCF0624"/>
    <w:rsid w:val="5014639A"/>
    <w:rsid w:val="50A81883"/>
    <w:rsid w:val="50B13258"/>
    <w:rsid w:val="50DA2582"/>
    <w:rsid w:val="50EE65D2"/>
    <w:rsid w:val="50F46031"/>
    <w:rsid w:val="511A5F4C"/>
    <w:rsid w:val="512319B3"/>
    <w:rsid w:val="51936A44"/>
    <w:rsid w:val="51CF5ACA"/>
    <w:rsid w:val="52781EC3"/>
    <w:rsid w:val="529F6AF7"/>
    <w:rsid w:val="52B71A9E"/>
    <w:rsid w:val="52E02F27"/>
    <w:rsid w:val="530D226F"/>
    <w:rsid w:val="53470A6E"/>
    <w:rsid w:val="536C538B"/>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E7514"/>
    <w:rsid w:val="57B71ABF"/>
    <w:rsid w:val="57E047C9"/>
    <w:rsid w:val="58676CB9"/>
    <w:rsid w:val="589F2D24"/>
    <w:rsid w:val="58D40387"/>
    <w:rsid w:val="58F92360"/>
    <w:rsid w:val="590E7106"/>
    <w:rsid w:val="59167DF8"/>
    <w:rsid w:val="591B5EDB"/>
    <w:rsid w:val="59380FD3"/>
    <w:rsid w:val="597E4EA1"/>
    <w:rsid w:val="59B42C2A"/>
    <w:rsid w:val="59C96626"/>
    <w:rsid w:val="5A586B40"/>
    <w:rsid w:val="5AA93B8D"/>
    <w:rsid w:val="5AB14087"/>
    <w:rsid w:val="5AD261F1"/>
    <w:rsid w:val="5B3234EA"/>
    <w:rsid w:val="5BB55D66"/>
    <w:rsid w:val="5C023EB0"/>
    <w:rsid w:val="5C1E6868"/>
    <w:rsid w:val="5C3558FF"/>
    <w:rsid w:val="5C6806E1"/>
    <w:rsid w:val="5C7266EF"/>
    <w:rsid w:val="5C8B05C2"/>
    <w:rsid w:val="5CC00EBB"/>
    <w:rsid w:val="5CEC747F"/>
    <w:rsid w:val="5D192B61"/>
    <w:rsid w:val="5D3A3A8E"/>
    <w:rsid w:val="5D8B73E8"/>
    <w:rsid w:val="5D980C1C"/>
    <w:rsid w:val="5D995489"/>
    <w:rsid w:val="5DB079E6"/>
    <w:rsid w:val="5DD404E3"/>
    <w:rsid w:val="5DF003F9"/>
    <w:rsid w:val="5E131A5B"/>
    <w:rsid w:val="5E74207B"/>
    <w:rsid w:val="5E9444BE"/>
    <w:rsid w:val="5EA5391D"/>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B2A7B"/>
    <w:rsid w:val="61AB599D"/>
    <w:rsid w:val="620E4923"/>
    <w:rsid w:val="6237380D"/>
    <w:rsid w:val="6240283F"/>
    <w:rsid w:val="62A05B67"/>
    <w:rsid w:val="62C57EE3"/>
    <w:rsid w:val="62DB5692"/>
    <w:rsid w:val="62ED43B5"/>
    <w:rsid w:val="62F23955"/>
    <w:rsid w:val="62F903B5"/>
    <w:rsid w:val="63C02B07"/>
    <w:rsid w:val="64557D2B"/>
    <w:rsid w:val="64AE2D29"/>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E3EA3"/>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BE550CB"/>
    <w:rsid w:val="6C28124C"/>
    <w:rsid w:val="6C642F64"/>
    <w:rsid w:val="6C8E4F6C"/>
    <w:rsid w:val="6CA36C2E"/>
    <w:rsid w:val="6CC05E92"/>
    <w:rsid w:val="6CC61D04"/>
    <w:rsid w:val="6CDC291A"/>
    <w:rsid w:val="6D8E2BC7"/>
    <w:rsid w:val="6DF878E4"/>
    <w:rsid w:val="6E630391"/>
    <w:rsid w:val="6EC83176"/>
    <w:rsid w:val="6F922E55"/>
    <w:rsid w:val="6FAF49F7"/>
    <w:rsid w:val="707441BB"/>
    <w:rsid w:val="708414F7"/>
    <w:rsid w:val="708C1B31"/>
    <w:rsid w:val="708D0E66"/>
    <w:rsid w:val="70BA393E"/>
    <w:rsid w:val="70CC4BC0"/>
    <w:rsid w:val="70E4330E"/>
    <w:rsid w:val="70F33D7B"/>
    <w:rsid w:val="717F7444"/>
    <w:rsid w:val="71CC1C7C"/>
    <w:rsid w:val="71E120AB"/>
    <w:rsid w:val="71EB712A"/>
    <w:rsid w:val="72C27FA6"/>
    <w:rsid w:val="72CD1E30"/>
    <w:rsid w:val="72F27CCF"/>
    <w:rsid w:val="73032DB9"/>
    <w:rsid w:val="732037C2"/>
    <w:rsid w:val="74297C7C"/>
    <w:rsid w:val="74385DE5"/>
    <w:rsid w:val="74B41D21"/>
    <w:rsid w:val="759C7166"/>
    <w:rsid w:val="75A9470E"/>
    <w:rsid w:val="75C857C9"/>
    <w:rsid w:val="760A6D2F"/>
    <w:rsid w:val="762429DE"/>
    <w:rsid w:val="7640065E"/>
    <w:rsid w:val="76B03EE3"/>
    <w:rsid w:val="76C36E32"/>
    <w:rsid w:val="7710508A"/>
    <w:rsid w:val="77C11B4C"/>
    <w:rsid w:val="77E97F30"/>
    <w:rsid w:val="77FD3570"/>
    <w:rsid w:val="78AE5CDB"/>
    <w:rsid w:val="79C01ACA"/>
    <w:rsid w:val="79CF2250"/>
    <w:rsid w:val="79ED0498"/>
    <w:rsid w:val="7A076975"/>
    <w:rsid w:val="7A926977"/>
    <w:rsid w:val="7AF53B5D"/>
    <w:rsid w:val="7AFA7350"/>
    <w:rsid w:val="7B12020A"/>
    <w:rsid w:val="7B1B76BB"/>
    <w:rsid w:val="7BAA2E76"/>
    <w:rsid w:val="7C124499"/>
    <w:rsid w:val="7C9129FF"/>
    <w:rsid w:val="7CE71E7A"/>
    <w:rsid w:val="7D764148"/>
    <w:rsid w:val="7DDB1222"/>
    <w:rsid w:val="7E1B5A41"/>
    <w:rsid w:val="7E4E2AA2"/>
    <w:rsid w:val="7E572472"/>
    <w:rsid w:val="7E7734EE"/>
    <w:rsid w:val="7E795049"/>
    <w:rsid w:val="7E9A6542"/>
    <w:rsid w:val="7EAA5C42"/>
    <w:rsid w:val="7ED31908"/>
    <w:rsid w:val="7EE11E36"/>
    <w:rsid w:val="7F152581"/>
    <w:rsid w:val="7F2E6E32"/>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0"/>
    <w:qFormat/>
    <w:uiPriority w:val="0"/>
    <w:pPr>
      <w:keepNext/>
      <w:keepLines/>
      <w:spacing w:before="260" w:after="260" w:line="416" w:lineRule="auto"/>
      <w:outlineLvl w:val="2"/>
    </w:pPr>
    <w:rPr>
      <w:b/>
      <w:bCs/>
      <w:sz w:val="32"/>
      <w:szCs w:val="32"/>
    </w:rPr>
  </w:style>
  <w:style w:type="paragraph" w:styleId="6">
    <w:name w:val="heading 4"/>
    <w:basedOn w:val="1"/>
    <w:next w:val="1"/>
    <w:link w:val="72"/>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73"/>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3"/>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0"/>
  </w:style>
  <w:style w:type="table" w:default="1" w:styleId="3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Body Text First Indent"/>
    <w:basedOn w:val="10"/>
    <w:qFormat/>
    <w:uiPriority w:val="0"/>
    <w:pPr>
      <w:spacing w:after="120" w:line="240" w:lineRule="auto"/>
      <w:ind w:firstLine="420" w:firstLineChars="100"/>
      <w:jc w:val="both"/>
    </w:pPr>
    <w:rPr>
      <w:b w:val="0"/>
      <w:bCs w:val="0"/>
      <w:sz w:val="21"/>
    </w:rPr>
  </w:style>
  <w:style w:type="paragraph" w:styleId="10">
    <w:name w:val="Body Text"/>
    <w:basedOn w:val="1"/>
    <w:next w:val="1"/>
    <w:qFormat/>
    <w:uiPriority w:val="0"/>
    <w:pPr>
      <w:spacing w:line="300" w:lineRule="auto"/>
      <w:jc w:val="center"/>
    </w:pPr>
    <w:rPr>
      <w:b/>
      <w:bCs/>
      <w:sz w:val="44"/>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71"/>
    <w:qFormat/>
    <w:uiPriority w:val="0"/>
    <w:pPr>
      <w:jc w:val="left"/>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8"/>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7"/>
    <w:semiHidden/>
    <w:qFormat/>
    <w:uiPriority w:val="99"/>
    <w:rPr>
      <w:sz w:val="18"/>
      <w:szCs w:val="18"/>
    </w:rPr>
  </w:style>
  <w:style w:type="paragraph" w:styleId="20">
    <w:name w:val="footer"/>
    <w:basedOn w:val="1"/>
    <w:link w:val="69"/>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6"/>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9">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40">
    <w:name w:val=" Char Char Char"/>
    <w:basedOn w:val="1"/>
    <w:qFormat/>
    <w:uiPriority w:val="0"/>
    <w:rPr>
      <w:rFonts w:ascii="Tahoma" w:hAnsi="Tahoma"/>
      <w:sz w:val="24"/>
      <w:szCs w:val="20"/>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正文部分1"/>
    <w:basedOn w:val="1"/>
    <w:qFormat/>
    <w:uiPriority w:val="99"/>
    <w:pPr>
      <w:ind w:firstLine="200" w:firstLineChars="200"/>
    </w:pPr>
    <w:rPr>
      <w:rFonts w:ascii="宋体" w:hAnsi="宋体"/>
      <w:color w:val="000000"/>
      <w:sz w:val="24"/>
    </w:rPr>
  </w:style>
  <w:style w:type="paragraph" w:customStyle="1" w:styleId="43">
    <w:name w:val=" Char"/>
    <w:basedOn w:val="1"/>
    <w:qFormat/>
    <w:uiPriority w:val="0"/>
    <w:rPr>
      <w:rFonts w:ascii="Tahoma" w:hAnsi="Tahoma"/>
      <w:sz w:val="24"/>
      <w:szCs w:val="20"/>
    </w:rPr>
  </w:style>
  <w:style w:type="paragraph" w:customStyle="1" w:styleId="44">
    <w:name w:val="Char Char Char Char Char Char Char1 Char"/>
    <w:basedOn w:val="1"/>
    <w:qFormat/>
    <w:uiPriority w:val="0"/>
    <w:rPr>
      <w:rFonts w:ascii="Tahoma" w:hAnsi="Tahoma"/>
      <w:sz w:val="24"/>
      <w:szCs w:val="20"/>
    </w:rPr>
  </w:style>
  <w:style w:type="paragraph" w:customStyle="1" w:styleId="45">
    <w:name w:val="Normal_0"/>
    <w:qFormat/>
    <w:uiPriority w:val="0"/>
    <w:rPr>
      <w:rFonts w:ascii="Calibri" w:hAnsi="Calibri" w:eastAsia="Times New Roman" w:cs="Times New Roman"/>
      <w:sz w:val="24"/>
      <w:szCs w:val="24"/>
      <w:lang w:bidi="ar-SA"/>
    </w:rPr>
  </w:style>
  <w:style w:type="paragraph" w:customStyle="1" w:styleId="46">
    <w:name w:val="环小四1.1(三级)"/>
    <w:basedOn w:val="47"/>
    <w:qFormat/>
    <w:uiPriority w:val="99"/>
  </w:style>
  <w:style w:type="paragraph" w:customStyle="1" w:styleId="47">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4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样式2"/>
    <w:basedOn w:val="1"/>
    <w:link w:val="61"/>
    <w:qFormat/>
    <w:uiPriority w:val="0"/>
    <w:pPr>
      <w:spacing w:line="600" w:lineRule="exact"/>
    </w:pPr>
    <w:rPr>
      <w:rFonts w:ascii="仿宋_GB2312" w:hAnsi="宋体" w:eastAsia="仿宋_GB2312"/>
      <w:b/>
      <w:sz w:val="32"/>
      <w:szCs w:val="32"/>
    </w:rPr>
  </w:style>
  <w:style w:type="paragraph" w:customStyle="1" w:styleId="51">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环小四表内容"/>
    <w:basedOn w:val="1"/>
    <w:qFormat/>
    <w:uiPriority w:val="99"/>
    <w:pPr>
      <w:wordWrap w:val="0"/>
      <w:spacing w:line="240" w:lineRule="exact"/>
      <w:jc w:val="center"/>
    </w:pPr>
    <w:rPr>
      <w:rFonts w:hAnsi="宋体"/>
      <w:sz w:val="18"/>
      <w:szCs w:val="21"/>
    </w:rPr>
  </w:style>
  <w:style w:type="paragraph" w:customStyle="1" w:styleId="53">
    <w:name w:val="默认段落字体 Para Char Char Char Char Char Char Char Char Char1 Char Char Char Char Char Char Char Char"/>
    <w:basedOn w:val="12"/>
    <w:qFormat/>
    <w:uiPriority w:val="0"/>
  </w:style>
  <w:style w:type="paragraph" w:customStyle="1" w:styleId="54">
    <w:name w:val="absatz1"/>
    <w:basedOn w:val="1"/>
    <w:uiPriority w:val="0"/>
    <w:pPr>
      <w:widowControl/>
      <w:tabs>
        <w:tab w:val="left" w:pos="709"/>
      </w:tabs>
      <w:ind w:left="709" w:hanging="709"/>
    </w:pPr>
    <w:rPr>
      <w:kern w:val="0"/>
      <w:sz w:val="24"/>
      <w:szCs w:val="20"/>
    </w:rPr>
  </w:style>
  <w:style w:type="paragraph" w:customStyle="1" w:styleId="55">
    <w:name w:val="_Style 54"/>
    <w:basedOn w:val="1"/>
    <w:next w:val="1"/>
    <w:qFormat/>
    <w:uiPriority w:val="0"/>
    <w:pPr>
      <w:pBdr>
        <w:top w:val="single" w:color="auto" w:sz="6" w:space="1"/>
      </w:pBdr>
      <w:jc w:val="center"/>
    </w:pPr>
    <w:rPr>
      <w:rFonts w:ascii="Arial" w:eastAsia="宋体"/>
      <w:vanish/>
      <w:sz w:val="16"/>
    </w:rPr>
  </w:style>
  <w:style w:type="paragraph" w:customStyle="1" w:styleId="56">
    <w:name w:val="WPSOffice手动目录 1"/>
    <w:qFormat/>
    <w:uiPriority w:val="0"/>
    <w:pPr>
      <w:ind w:leftChars="0"/>
    </w:pPr>
    <w:rPr>
      <w:rFonts w:ascii="Calibri" w:hAnsi="Calibri" w:eastAsia="宋体" w:cs="Times New Roman"/>
      <w:sz w:val="20"/>
      <w:szCs w:val="20"/>
    </w:rPr>
  </w:style>
  <w:style w:type="paragraph" w:customStyle="1" w:styleId="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环小四内容"/>
    <w:basedOn w:val="1"/>
    <w:qFormat/>
    <w:uiPriority w:val="99"/>
    <w:pPr>
      <w:ind w:firstLine="200" w:firstLineChars="200"/>
    </w:pPr>
    <w:rPr>
      <w:rFonts w:hAnsi="宋体"/>
    </w:rPr>
  </w:style>
  <w:style w:type="paragraph" w:customStyle="1" w:styleId="59">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0">
    <w:name w:val="Char Char Char Char Char Char Char1 Char Char Char Char Char Char Char"/>
    <w:basedOn w:val="1"/>
    <w:qFormat/>
    <w:uiPriority w:val="0"/>
    <w:rPr>
      <w:rFonts w:ascii="Tahoma" w:hAnsi="Tahoma"/>
      <w:sz w:val="24"/>
      <w:szCs w:val="20"/>
    </w:rPr>
  </w:style>
  <w:style w:type="character" w:customStyle="1" w:styleId="61">
    <w:name w:val="样式2 Char Char"/>
    <w:link w:val="50"/>
    <w:uiPriority w:val="0"/>
    <w:rPr>
      <w:rFonts w:ascii="仿宋_GB2312" w:hAnsi="宋体" w:eastAsia="仿宋_GB2312"/>
      <w:b/>
      <w:kern w:val="2"/>
      <w:sz w:val="32"/>
      <w:szCs w:val="32"/>
      <w:lang w:val="en-US" w:eastAsia="zh-CN" w:bidi="ar-SA"/>
    </w:rPr>
  </w:style>
  <w:style w:type="character" w:customStyle="1" w:styleId="62">
    <w:name w:val="页眉 Char"/>
    <w:link w:val="21"/>
    <w:qFormat/>
    <w:uiPriority w:val="0"/>
    <w:rPr>
      <w:rFonts w:eastAsia="宋体"/>
      <w:kern w:val="2"/>
      <w:sz w:val="18"/>
      <w:szCs w:val="18"/>
      <w:lang w:val="en-US" w:eastAsia="zh-CN" w:bidi="ar-SA"/>
    </w:rPr>
  </w:style>
  <w:style w:type="character" w:customStyle="1" w:styleId="63">
    <w:name w:val="标题 6 Char"/>
    <w:link w:val="8"/>
    <w:qFormat/>
    <w:uiPriority w:val="9"/>
    <w:rPr>
      <w:rFonts w:ascii="宋体" w:hAnsi="宋体" w:cs="宋体"/>
      <w:b/>
      <w:bCs/>
      <w:sz w:val="15"/>
      <w:szCs w:val="15"/>
    </w:rPr>
  </w:style>
  <w:style w:type="character" w:customStyle="1" w:styleId="64">
    <w:name w:val="标题 2 Char"/>
    <w:link w:val="4"/>
    <w:qFormat/>
    <w:uiPriority w:val="9"/>
    <w:rPr>
      <w:rFonts w:ascii="Arial" w:hAnsi="Arial" w:eastAsia="黑体"/>
      <w:b/>
      <w:bCs/>
      <w:kern w:val="2"/>
      <w:sz w:val="32"/>
      <w:szCs w:val="32"/>
      <w:lang w:val="en-US" w:eastAsia="zh-CN" w:bidi="ar-SA"/>
    </w:rPr>
  </w:style>
  <w:style w:type="character" w:customStyle="1" w:styleId="65">
    <w:name w:val="标题 1 Char"/>
    <w:link w:val="3"/>
    <w:qFormat/>
    <w:uiPriority w:val="9"/>
    <w:rPr>
      <w:b/>
      <w:bCs/>
      <w:kern w:val="44"/>
      <w:sz w:val="44"/>
      <w:szCs w:val="44"/>
    </w:rPr>
  </w:style>
  <w:style w:type="character" w:customStyle="1" w:styleId="66">
    <w:name w:val="正文文本 2 Char"/>
    <w:link w:val="24"/>
    <w:qFormat/>
    <w:locked/>
    <w:uiPriority w:val="99"/>
    <w:rPr>
      <w:rFonts w:ascii="宋体" w:hAnsi="宋体"/>
      <w:kern w:val="0"/>
      <w:sz w:val="20"/>
      <w:szCs w:val="21"/>
    </w:rPr>
  </w:style>
  <w:style w:type="character" w:customStyle="1" w:styleId="67">
    <w:name w:val="批注框文本 Char"/>
    <w:link w:val="19"/>
    <w:semiHidden/>
    <w:qFormat/>
    <w:uiPriority w:val="99"/>
    <w:rPr>
      <w:kern w:val="2"/>
      <w:sz w:val="18"/>
      <w:szCs w:val="18"/>
    </w:rPr>
  </w:style>
  <w:style w:type="character" w:customStyle="1" w:styleId="68">
    <w:name w:val="纯文本 Char"/>
    <w:link w:val="16"/>
    <w:qFormat/>
    <w:uiPriority w:val="0"/>
    <w:rPr>
      <w:rFonts w:ascii="宋体" w:hAnsi="Courier New"/>
      <w:kern w:val="2"/>
      <w:sz w:val="21"/>
    </w:rPr>
  </w:style>
  <w:style w:type="character" w:customStyle="1" w:styleId="69">
    <w:name w:val="页脚 Char"/>
    <w:link w:val="20"/>
    <w:uiPriority w:val="99"/>
    <w:rPr>
      <w:rFonts w:ascii="宋体" w:hAnsi="宋体"/>
      <w:sz w:val="18"/>
      <w:szCs w:val="18"/>
    </w:rPr>
  </w:style>
  <w:style w:type="character" w:customStyle="1" w:styleId="70">
    <w:name w:val="标题 3 Char"/>
    <w:link w:val="5"/>
    <w:uiPriority w:val="0"/>
    <w:rPr>
      <w:b/>
      <w:bCs/>
      <w:kern w:val="2"/>
      <w:sz w:val="32"/>
      <w:szCs w:val="32"/>
    </w:rPr>
  </w:style>
  <w:style w:type="character" w:customStyle="1" w:styleId="71">
    <w:name w:val="批注文字 Char"/>
    <w:link w:val="13"/>
    <w:locked/>
    <w:uiPriority w:val="0"/>
    <w:rPr>
      <w:kern w:val="2"/>
      <w:sz w:val="21"/>
      <w:szCs w:val="24"/>
    </w:rPr>
  </w:style>
  <w:style w:type="character" w:customStyle="1" w:styleId="72">
    <w:name w:val="标题 4 Char"/>
    <w:link w:val="6"/>
    <w:uiPriority w:val="9"/>
    <w:rPr>
      <w:rFonts w:ascii="宋体" w:hAnsi="宋体" w:cs="宋体"/>
      <w:b/>
      <w:bCs/>
      <w:sz w:val="24"/>
      <w:szCs w:val="24"/>
    </w:rPr>
  </w:style>
  <w:style w:type="character" w:customStyle="1" w:styleId="73">
    <w:name w:val="标题 5 Char"/>
    <w:link w:val="7"/>
    <w:uiPriority w:val="9"/>
    <w:rPr>
      <w:rFonts w:ascii="宋体" w:hAnsi="宋体" w:cs="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25</Pages>
  <Words>7728</Words>
  <Characters>8355</Characters>
  <Lines>198</Lines>
  <Paragraphs>55</Paragraphs>
  <TotalTime>98</TotalTime>
  <ScaleCrop>false</ScaleCrop>
  <LinksUpToDate>false</LinksUpToDate>
  <CharactersWithSpaces>9009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2024-05-22T01:33:14Z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FE8065BE096F43509218976F283727DB</vt:lpwstr>
  </property>
</Properties>
</file>