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竞争性谈判文件</w:t>
      </w: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(基建施工类)</w:t>
      </w:r>
    </w:p>
    <w:p>
      <w:pPr>
        <w:spacing w:line="560" w:lineRule="exact"/>
        <w:jc w:val="center"/>
        <w:rPr>
          <w:rFonts w:ascii="仿宋_GB2312" w:eastAsia="仿宋_GB2312"/>
          <w:color w:val="000000"/>
          <w:sz w:val="32"/>
          <w:szCs w:val="28"/>
        </w:rPr>
      </w:pPr>
    </w:p>
    <w:p>
      <w:pPr>
        <w:spacing w:line="560" w:lineRule="exact"/>
        <w:ind w:firstLine="2240" w:firstLineChars="700"/>
        <w:rPr>
          <w:rFonts w:hint="eastAsia" w:eastAsia="仿宋"/>
          <w:color w:val="000000"/>
          <w:sz w:val="32"/>
          <w:szCs w:val="28"/>
          <w:lang w:val="en-US" w:eastAsia="zh-CN"/>
        </w:rPr>
      </w:pPr>
      <w:r>
        <w:rPr>
          <w:rFonts w:hint="eastAsia" w:ascii="宋体" w:hAnsi="宋体"/>
          <w:color w:val="000000"/>
          <w:sz w:val="32"/>
          <w:szCs w:val="28"/>
        </w:rPr>
        <w:t>文件编号：</w:t>
      </w:r>
      <w:r>
        <w:rPr>
          <w:rFonts w:eastAsia="仿宋"/>
          <w:color w:val="000000"/>
          <w:sz w:val="32"/>
          <w:szCs w:val="28"/>
        </w:rPr>
        <w:t>SACSC-</w:t>
      </w:r>
      <w:r>
        <w:rPr>
          <w:rFonts w:hint="eastAsia" w:eastAsia="仿宋"/>
          <w:color w:val="000000"/>
          <w:sz w:val="32"/>
          <w:szCs w:val="28"/>
        </w:rPr>
        <w:t>TP</w:t>
      </w:r>
      <w:r>
        <w:rPr>
          <w:rFonts w:eastAsia="仿宋"/>
          <w:color w:val="000000"/>
          <w:sz w:val="32"/>
          <w:szCs w:val="28"/>
        </w:rPr>
        <w:t>-</w:t>
      </w:r>
      <w:r>
        <w:rPr>
          <w:rFonts w:hint="eastAsia" w:eastAsia="仿宋"/>
          <w:color w:val="000000"/>
          <w:sz w:val="32"/>
          <w:szCs w:val="28"/>
        </w:rPr>
        <w:t>C</w:t>
      </w:r>
      <w:r>
        <w:rPr>
          <w:rFonts w:eastAsia="仿宋"/>
          <w:color w:val="000000"/>
          <w:sz w:val="32"/>
          <w:szCs w:val="28"/>
        </w:rPr>
        <w:t>-20</w:t>
      </w:r>
      <w:r>
        <w:rPr>
          <w:rFonts w:hint="eastAsia" w:eastAsia="仿宋"/>
          <w:color w:val="000000"/>
          <w:sz w:val="32"/>
          <w:szCs w:val="28"/>
        </w:rPr>
        <w:t>240</w:t>
      </w:r>
      <w:r>
        <w:rPr>
          <w:rFonts w:hint="eastAsia" w:eastAsia="仿宋"/>
          <w:color w:val="000000"/>
          <w:sz w:val="32"/>
          <w:szCs w:val="28"/>
          <w:lang w:val="en-US" w:eastAsia="zh-CN"/>
        </w:rPr>
        <w:t>13</w:t>
      </w:r>
    </w:p>
    <w:p>
      <w:pPr>
        <w:spacing w:line="560" w:lineRule="exact"/>
        <w:ind w:firstLine="2240" w:firstLineChars="700"/>
        <w:rPr>
          <w:rFonts w:hint="eastAsia" w:ascii="宋体" w:hAnsi="宋体" w:eastAsiaTheme="minorEastAsia"/>
          <w:color w:val="000000"/>
          <w:sz w:val="32"/>
          <w:szCs w:val="32"/>
          <w:lang w:eastAsia="zh-CN"/>
        </w:rPr>
      </w:pPr>
      <w:r>
        <w:rPr>
          <w:rFonts w:hint="eastAsia" w:ascii="宋体" w:hAnsi="宋体"/>
          <w:color w:val="000000"/>
          <w:sz w:val="32"/>
          <w:szCs w:val="28"/>
        </w:rPr>
        <w:t>项目名称：</w:t>
      </w:r>
      <w:r>
        <w:rPr>
          <w:rFonts w:hint="eastAsia" w:asciiTheme="minorEastAsia" w:hAnsiTheme="minorEastAsia" w:eastAsiaTheme="minorEastAsia" w:cstheme="minorEastAsia"/>
          <w:color w:val="000000"/>
          <w:kern w:val="0"/>
          <w:sz w:val="32"/>
          <w:szCs w:val="32"/>
          <w:lang w:eastAsia="zh-CN"/>
        </w:rPr>
        <w:t>客服中心监控系统升级改造</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lang w:val="en-US" w:eastAsia="zh-CN"/>
        </w:rPr>
        <w:t xml:space="preserve">    </w:t>
      </w:r>
      <w:r>
        <w:rPr>
          <w:rFonts w:hint="eastAsia" w:ascii="宋体" w:hAnsi="宋体"/>
          <w:color w:val="000000"/>
          <w:sz w:val="32"/>
          <w:szCs w:val="28"/>
        </w:rPr>
        <w:t>采购与供应商管理部</w:t>
      </w: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r>
        <w:rPr>
          <w:rFonts w:hint="eastAsia" w:ascii="仿宋" w:hAnsi="仿宋" w:eastAsia="仿宋" w:cs="仿宋"/>
          <w:color w:val="000000"/>
          <w:sz w:val="32"/>
          <w:szCs w:val="28"/>
        </w:rPr>
        <w:t>2024</w:t>
      </w:r>
      <w:r>
        <w:rPr>
          <w:rFonts w:hint="eastAsia" w:ascii="宋体" w:hAnsi="宋体"/>
          <w:color w:val="000000"/>
          <w:sz w:val="32"/>
          <w:szCs w:val="28"/>
        </w:rPr>
        <w:t>年</w:t>
      </w:r>
      <w:r>
        <w:rPr>
          <w:rFonts w:hint="eastAsia" w:ascii="仿宋" w:hAnsi="仿宋" w:eastAsia="仿宋" w:cs="仿宋"/>
          <w:color w:val="000000"/>
          <w:sz w:val="32"/>
          <w:szCs w:val="28"/>
          <w:lang w:val="en-US" w:eastAsia="zh-CN"/>
        </w:rPr>
        <w:t>7</w:t>
      </w:r>
      <w:r>
        <w:rPr>
          <w:rFonts w:hint="eastAsia" w:ascii="宋体" w:hAnsi="宋体"/>
          <w:color w:val="000000"/>
          <w:sz w:val="32"/>
          <w:szCs w:val="28"/>
        </w:rPr>
        <w:t>月</w:t>
      </w:r>
      <w:r>
        <w:rPr>
          <w:rFonts w:hint="eastAsia" w:ascii="宋体" w:hAnsi="宋体"/>
          <w:color w:val="000000"/>
          <w:sz w:val="32"/>
          <w:szCs w:val="28"/>
          <w:lang w:val="en-US" w:eastAsia="zh-CN"/>
        </w:rPr>
        <w:t>26</w:t>
      </w:r>
      <w:r>
        <w:rPr>
          <w:rFonts w:hint="eastAsia" w:ascii="宋体" w:hAnsi="宋体"/>
          <w:color w:val="000000"/>
          <w:sz w:val="32"/>
          <w:szCs w:val="28"/>
        </w:rPr>
        <w:t>日</w:t>
      </w:r>
    </w:p>
    <w:p>
      <w:pPr>
        <w:jc w:val="center"/>
        <w:outlineLvl w:val="0"/>
        <w:rPr>
          <w:rFonts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color w:val="000000"/>
          <w:sz w:val="32"/>
          <w:szCs w:val="36"/>
        </w:rPr>
      </w:pPr>
    </w:p>
    <w:p>
      <w:pPr>
        <w:pStyle w:val="63"/>
        <w:tabs>
          <w:tab w:val="right" w:leader="dot" w:pos="9026"/>
        </w:tabs>
        <w:spacing w:line="360" w:lineRule="auto"/>
        <w:rPr>
          <w:sz w:val="24"/>
        </w:rPr>
      </w:pPr>
      <w:bookmarkStart w:id="1" w:name="_Toc16676_WPSOffice_Type1"/>
      <w:r>
        <w:rPr>
          <w:sz w:val="24"/>
        </w:rPr>
        <w:fldChar w:fldCharType="begin"/>
      </w:r>
      <w:r>
        <w:rPr>
          <w:sz w:val="24"/>
        </w:rPr>
        <w:instrText xml:space="preserve"> HYPERLINK \l _Toc10946_WPSOffice_Level1 </w:instrText>
      </w:r>
      <w:r>
        <w:rPr>
          <w:sz w:val="24"/>
        </w:rPr>
        <w:fldChar w:fldCharType="separate"/>
      </w:r>
      <w:r>
        <w:rPr>
          <w:rFonts w:hint="eastAsia"/>
          <w:sz w:val="24"/>
        </w:rPr>
        <w:t>第一章  竞争性谈判书</w:t>
      </w:r>
      <w:r>
        <w:rPr>
          <w:sz w:val="24"/>
        </w:rPr>
        <w:tab/>
      </w:r>
      <w:bookmarkStart w:id="2" w:name="_Toc10946_WPSOffice_Level1Page"/>
      <w:r>
        <w:rPr>
          <w:sz w:val="24"/>
        </w:rPr>
        <w:t>4</w:t>
      </w:r>
      <w:bookmarkEnd w:id="2"/>
      <w:r>
        <w:rPr>
          <w:sz w:val="24"/>
        </w:rPr>
        <w:fldChar w:fldCharType="end"/>
      </w:r>
    </w:p>
    <w:p>
      <w:pPr>
        <w:pStyle w:val="63"/>
        <w:tabs>
          <w:tab w:val="right" w:leader="dot" w:pos="9026"/>
        </w:tabs>
        <w:spacing w:line="360" w:lineRule="auto"/>
        <w:rPr>
          <w:sz w:val="24"/>
        </w:rPr>
      </w:pPr>
      <w:r>
        <w:fldChar w:fldCharType="begin"/>
      </w:r>
      <w:r>
        <w:instrText xml:space="preserve"> HYPERLINK \l "_Toc15799_WPSOffice_Level1" </w:instrText>
      </w:r>
      <w:r>
        <w:fldChar w:fldCharType="separate"/>
      </w:r>
      <w:r>
        <w:rPr>
          <w:rFonts w:hint="eastAsia"/>
          <w:sz w:val="24"/>
        </w:rPr>
        <w:t>第二章  响应单位须知</w:t>
      </w:r>
      <w:r>
        <w:rPr>
          <w:sz w:val="24"/>
        </w:rPr>
        <w:tab/>
      </w:r>
      <w:bookmarkStart w:id="3" w:name="_Toc15799_WPSOffice_Level1Page"/>
      <w:r>
        <w:rPr>
          <w:sz w:val="24"/>
        </w:rPr>
        <w:t>7</w:t>
      </w:r>
      <w:bookmarkEnd w:id="3"/>
      <w:r>
        <w:rPr>
          <w:sz w:val="24"/>
        </w:rPr>
        <w:fldChar w:fldCharType="end"/>
      </w:r>
    </w:p>
    <w:p>
      <w:pPr>
        <w:pStyle w:val="63"/>
        <w:tabs>
          <w:tab w:val="right" w:leader="dot" w:pos="9026"/>
        </w:tabs>
        <w:spacing w:line="360" w:lineRule="auto"/>
        <w:rPr>
          <w:sz w:val="24"/>
        </w:rPr>
      </w:pPr>
      <w:r>
        <w:fldChar w:fldCharType="begin"/>
      </w:r>
      <w:r>
        <w:instrText xml:space="preserve"> HYPERLINK \l "_Toc31820_WPSOffice_Level1" </w:instrText>
      </w:r>
      <w:r>
        <w:fldChar w:fldCharType="separate"/>
      </w:r>
      <w:r>
        <w:rPr>
          <w:rFonts w:hint="eastAsia"/>
          <w:sz w:val="24"/>
        </w:rPr>
        <w:t>第三章  评审办法</w:t>
      </w:r>
      <w:r>
        <w:rPr>
          <w:sz w:val="24"/>
        </w:rPr>
        <w:tab/>
      </w:r>
      <w:bookmarkStart w:id="4" w:name="_Toc31820_WPSOffice_Level1Page"/>
      <w:r>
        <w:rPr>
          <w:sz w:val="24"/>
        </w:rPr>
        <w:t>9</w:t>
      </w:r>
      <w:bookmarkEnd w:id="4"/>
      <w:r>
        <w:rPr>
          <w:sz w:val="24"/>
        </w:rPr>
        <w:fldChar w:fldCharType="end"/>
      </w:r>
    </w:p>
    <w:p>
      <w:pPr>
        <w:pStyle w:val="63"/>
        <w:tabs>
          <w:tab w:val="right" w:leader="dot" w:pos="9026"/>
        </w:tabs>
        <w:spacing w:line="360" w:lineRule="auto"/>
        <w:rPr>
          <w:sz w:val="24"/>
        </w:rPr>
      </w:pPr>
      <w:r>
        <w:fldChar w:fldCharType="begin"/>
      </w:r>
      <w:r>
        <w:instrText xml:space="preserve"> HYPERLINK \l "_Toc742_WPSOffice_Level1" </w:instrText>
      </w:r>
      <w:r>
        <w:fldChar w:fldCharType="separate"/>
      </w:r>
      <w:r>
        <w:rPr>
          <w:rFonts w:hint="eastAsia"/>
          <w:sz w:val="24"/>
        </w:rPr>
        <w:t>第四章  商务要求</w:t>
      </w:r>
      <w:r>
        <w:rPr>
          <w:sz w:val="24"/>
        </w:rPr>
        <w:tab/>
      </w:r>
      <w:bookmarkStart w:id="5" w:name="_Toc742_WPSOffice_Level1Page"/>
      <w:r>
        <w:rPr>
          <w:sz w:val="24"/>
        </w:rPr>
        <w:t>12</w:t>
      </w:r>
      <w:bookmarkEnd w:id="5"/>
      <w:r>
        <w:rPr>
          <w:sz w:val="24"/>
        </w:rPr>
        <w:fldChar w:fldCharType="end"/>
      </w:r>
    </w:p>
    <w:p>
      <w:pPr>
        <w:pStyle w:val="63"/>
        <w:tabs>
          <w:tab w:val="right" w:leader="dot" w:pos="9026"/>
        </w:tabs>
        <w:spacing w:line="360" w:lineRule="auto"/>
        <w:rPr>
          <w:sz w:val="24"/>
        </w:rPr>
      </w:pPr>
      <w:r>
        <w:fldChar w:fldCharType="begin"/>
      </w:r>
      <w:r>
        <w:instrText xml:space="preserve"> HYPERLINK \l "_Toc28157_WPSOffice_Level1" </w:instrText>
      </w:r>
      <w:r>
        <w:fldChar w:fldCharType="separate"/>
      </w:r>
      <w:r>
        <w:rPr>
          <w:rFonts w:hint="eastAsia"/>
          <w:sz w:val="24"/>
        </w:rPr>
        <w:t>第五章  要求</w:t>
      </w:r>
      <w:r>
        <w:rPr>
          <w:sz w:val="24"/>
        </w:rPr>
        <w:tab/>
      </w:r>
      <w:bookmarkStart w:id="6" w:name="_Toc28157_WPSOffice_Level1Page"/>
      <w:r>
        <w:rPr>
          <w:sz w:val="24"/>
        </w:rPr>
        <w:t>1</w:t>
      </w:r>
      <w:bookmarkEnd w:id="6"/>
      <w:r>
        <w:rPr>
          <w:rFonts w:hint="eastAsia"/>
          <w:sz w:val="24"/>
          <w:lang w:val="en-US" w:eastAsia="zh-CN"/>
        </w:rPr>
        <w:t>4</w:t>
      </w:r>
      <w:r>
        <w:rPr>
          <w:sz w:val="24"/>
        </w:rPr>
        <w:fldChar w:fldCharType="end"/>
      </w:r>
    </w:p>
    <w:p>
      <w:pPr>
        <w:pStyle w:val="63"/>
        <w:tabs>
          <w:tab w:val="right" w:leader="dot" w:pos="9026"/>
        </w:tabs>
        <w:spacing w:line="360" w:lineRule="auto"/>
        <w:rPr>
          <w:sz w:val="24"/>
        </w:rPr>
      </w:pPr>
      <w:r>
        <w:fldChar w:fldCharType="begin"/>
      </w:r>
      <w:r>
        <w:instrText xml:space="preserve"> HYPERLINK \l "_Toc7733_WPSOffice_Level1" </w:instrText>
      </w:r>
      <w:r>
        <w:fldChar w:fldCharType="separate"/>
      </w:r>
      <w:r>
        <w:rPr>
          <w:rFonts w:hint="eastAsia"/>
          <w:sz w:val="24"/>
        </w:rPr>
        <w:t>第六章  附件</w:t>
      </w:r>
      <w:r>
        <w:rPr>
          <w:sz w:val="24"/>
        </w:rPr>
        <w:tab/>
      </w:r>
      <w:bookmarkStart w:id="7" w:name="_Toc7733_WPSOffice_Level1Page"/>
      <w:r>
        <w:rPr>
          <w:sz w:val="24"/>
        </w:rPr>
        <w:t>1</w:t>
      </w:r>
      <w:bookmarkEnd w:id="7"/>
      <w:r>
        <w:rPr>
          <w:rFonts w:hint="eastAsia"/>
          <w:sz w:val="24"/>
          <w:lang w:val="en-US" w:eastAsia="zh-CN"/>
        </w:rPr>
        <w:t>5</w:t>
      </w:r>
      <w:r>
        <w:rPr>
          <w:sz w:val="24"/>
        </w:rPr>
        <w:fldChar w:fldCharType="end"/>
      </w:r>
      <w:bookmarkEnd w:id="1"/>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sectPr>
          <w:footerReference r:id="rId3" w:type="default"/>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rPr>
      </w:pPr>
      <w:bookmarkStart w:id="8" w:name="_Toc10946_WPSOffice_Level1"/>
      <w:bookmarkStart w:id="9" w:name="_Hlk13586256"/>
      <w:bookmarkStart w:id="10" w:name="_Hlk39648029"/>
      <w:r>
        <w:rPr>
          <w:rFonts w:hint="eastAsia" w:ascii="方正小标宋简体" w:hAnsi="方正小标宋简体" w:eastAsia="方正小标宋简体" w:cs="方正小标宋简体"/>
          <w:b/>
          <w:bCs/>
          <w:color w:val="000000"/>
          <w:sz w:val="36"/>
        </w:rPr>
        <w:t xml:space="preserve">第一章  </w:t>
      </w:r>
      <w:bookmarkEnd w:id="8"/>
      <w:r>
        <w:rPr>
          <w:rFonts w:hint="eastAsia" w:ascii="方正小标宋简体" w:hAnsi="方正小标宋简体" w:eastAsia="方正小标宋简体" w:cs="方正小标宋简体"/>
          <w:b/>
          <w:bCs/>
          <w:color w:val="000000"/>
          <w:sz w:val="36"/>
        </w:rPr>
        <w:t>竞争性谈判书</w:t>
      </w:r>
    </w:p>
    <w:p>
      <w:pPr>
        <w:autoSpaceDE w:val="0"/>
        <w:autoSpaceDN w:val="0"/>
        <w:adjustRightInd w:val="0"/>
        <w:spacing w:line="360" w:lineRule="auto"/>
        <w:ind w:firstLine="560" w:firstLineChars="200"/>
        <w:jc w:val="left"/>
        <w:rPr>
          <w:rFonts w:ascii="宋体" w:hAnsi="宋体"/>
          <w:sz w:val="28"/>
          <w:szCs w:val="28"/>
        </w:rPr>
      </w:pPr>
      <w:r>
        <w:rPr>
          <w:rFonts w:hint="eastAsia" w:ascii="宋体" w:hAnsi="宋体"/>
          <w:kern w:val="0"/>
          <w:sz w:val="28"/>
          <w:szCs w:val="28"/>
        </w:rPr>
        <w:t>上海飞机客户服务有限公司</w:t>
      </w:r>
      <w:r>
        <w:rPr>
          <w:rFonts w:hint="eastAsia" w:ascii="宋体" w:hAnsi="宋体"/>
          <w:kern w:val="0"/>
          <w:sz w:val="28"/>
          <w:szCs w:val="28"/>
          <w:lang w:val="en-US" w:eastAsia="zh-CN"/>
        </w:rPr>
        <w:t>（下简称“客服公司”或“采购方”）</w:t>
      </w:r>
      <w:r>
        <w:rPr>
          <w:rFonts w:hint="eastAsia" w:ascii="宋体" w:hAnsi="宋体"/>
          <w:sz w:val="28"/>
          <w:szCs w:val="28"/>
        </w:rPr>
        <w:t>诚邀贵单位参加</w:t>
      </w:r>
      <w:r>
        <w:rPr>
          <w:rFonts w:hint="eastAsia" w:ascii="宋体" w:hAnsi="宋体"/>
          <w:sz w:val="28"/>
          <w:szCs w:val="28"/>
          <w:u w:val="single"/>
          <w:lang w:eastAsia="zh-CN"/>
        </w:rPr>
        <w:t>客服中心监控系统升级改造</w:t>
      </w:r>
      <w:r>
        <w:rPr>
          <w:rFonts w:hint="eastAsia" w:ascii="宋体" w:hAnsi="宋体"/>
          <w:sz w:val="28"/>
          <w:szCs w:val="28"/>
          <w:u w:val="single"/>
        </w:rPr>
        <w:t>项目</w:t>
      </w:r>
      <w:r>
        <w:rPr>
          <w:rFonts w:hint="eastAsia" w:ascii="宋体" w:hAnsi="宋体"/>
          <w:sz w:val="28"/>
          <w:szCs w:val="28"/>
        </w:rPr>
        <w:t>的采购，项目具体情况如下：</w:t>
      </w:r>
    </w:p>
    <w:tbl>
      <w:tblPr>
        <w:tblStyle w:val="34"/>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序号</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内容</w:t>
            </w:r>
          </w:p>
        </w:tc>
        <w:tc>
          <w:tcPr>
            <w:tcW w:w="6843" w:type="dxa"/>
            <w:vAlign w:val="center"/>
          </w:tcPr>
          <w:p>
            <w:pPr>
              <w:autoSpaceDE w:val="0"/>
              <w:autoSpaceDN w:val="0"/>
              <w:adjustRightInd w:val="0"/>
              <w:snapToGrid w:val="0"/>
              <w:jc w:val="center"/>
              <w:rPr>
                <w:rFonts w:ascii="宋体" w:hAnsi="宋体"/>
                <w:kern w:val="0"/>
                <w:sz w:val="24"/>
              </w:rPr>
            </w:pPr>
            <w:r>
              <w:rPr>
                <w:rFonts w:hint="eastAsia" w:ascii="宋体" w:hAnsi="宋体"/>
                <w:kern w:val="0"/>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服务名称</w:t>
            </w:r>
          </w:p>
        </w:tc>
        <w:tc>
          <w:tcPr>
            <w:tcW w:w="6843" w:type="dxa"/>
            <w:vAlign w:val="center"/>
          </w:tcPr>
          <w:p>
            <w:pPr>
              <w:autoSpaceDE w:val="0"/>
              <w:autoSpaceDN w:val="0"/>
              <w:adjustRightInd w:val="0"/>
              <w:jc w:val="center"/>
              <w:rPr>
                <w:rFonts w:ascii="宋体" w:hAnsi="宋体"/>
                <w:kern w:val="0"/>
                <w:sz w:val="24"/>
              </w:rPr>
            </w:pPr>
            <w:r>
              <w:rPr>
                <w:rFonts w:hint="eastAsia" w:ascii="宋体" w:hAnsi="宋体"/>
                <w:kern w:val="0"/>
                <w:sz w:val="24"/>
                <w:lang w:eastAsia="zh-CN"/>
              </w:rPr>
              <w:t>客服中心监控系统升级改造</w:t>
            </w:r>
            <w:r>
              <w:rPr>
                <w:rFonts w:hint="eastAsia" w:ascii="宋体" w:hAnsi="宋体"/>
                <w:kern w:val="0"/>
                <w:sz w:val="24"/>
              </w:rPr>
              <w:t>服务</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服务概况</w:t>
            </w:r>
          </w:p>
        </w:tc>
        <w:tc>
          <w:tcPr>
            <w:tcW w:w="6843" w:type="dxa"/>
            <w:vAlign w:val="center"/>
          </w:tcPr>
          <w:p>
            <w:pPr>
              <w:autoSpaceDE w:val="0"/>
              <w:autoSpaceDN w:val="0"/>
              <w:adjustRightInd w:val="0"/>
              <w:ind w:firstLine="480" w:firstLineChars="200"/>
              <w:jc w:val="left"/>
              <w:rPr>
                <w:rFonts w:ascii="宋体" w:hAnsi="宋体"/>
                <w:kern w:val="0"/>
                <w:sz w:val="24"/>
              </w:rPr>
            </w:pPr>
            <w:r>
              <w:rPr>
                <w:rFonts w:hint="eastAsia" w:ascii="宋体" w:hAnsi="宋体"/>
                <w:kern w:val="0"/>
                <w:sz w:val="24"/>
              </w:rPr>
              <w:t>本项目位于上海市闵行区江川东路100号园区内，根据</w:t>
            </w:r>
            <w:r>
              <w:rPr>
                <w:rFonts w:hint="eastAsia" w:asciiTheme="minorEastAsia" w:hAnsiTheme="minorEastAsia" w:eastAsiaTheme="minorEastAsia" w:cstheme="minorEastAsia"/>
                <w:color w:val="000000"/>
                <w:sz w:val="24"/>
                <w:shd w:val="clear" w:color="auto" w:fill="FFFFFF"/>
              </w:rPr>
              <w:t>上海市公安局技术防范办公室</w:t>
            </w:r>
            <w:r>
              <w:rPr>
                <w:rFonts w:hint="eastAsia" w:asciiTheme="minorEastAsia" w:hAnsiTheme="minorEastAsia" w:eastAsiaTheme="minorEastAsia" w:cstheme="minorEastAsia"/>
                <w:color w:val="000000"/>
                <w:kern w:val="0"/>
                <w:sz w:val="24"/>
              </w:rPr>
              <w:t>相关规定要求</w:t>
            </w:r>
            <w:r>
              <w:rPr>
                <w:rFonts w:hint="eastAsia" w:ascii="宋体" w:hAnsi="宋体"/>
                <w:kern w:val="0"/>
                <w:sz w:val="24"/>
              </w:rPr>
              <w:t>，结合上海飞机客户服务有限公司视频监控系统现状，对现有设施进行升级改造，将园区一期、二期、三期视频监控系统进行统一管理，园区视频监控系统功能要求（详见八、技术要求）。</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1.3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服务期限</w:t>
            </w:r>
          </w:p>
        </w:tc>
        <w:tc>
          <w:tcPr>
            <w:tcW w:w="6843" w:type="dxa"/>
            <w:vAlign w:val="center"/>
          </w:tcPr>
          <w:p>
            <w:pPr>
              <w:autoSpaceDE w:val="0"/>
              <w:autoSpaceDN w:val="0"/>
              <w:adjustRightInd w:val="0"/>
              <w:ind w:left="224" w:leftChars="104" w:hanging="6"/>
              <w:jc w:val="left"/>
              <w:rPr>
                <w:rFonts w:ascii="宋体" w:hAnsi="宋体"/>
                <w:kern w:val="0"/>
                <w:sz w:val="24"/>
              </w:rPr>
            </w:pPr>
            <w:r>
              <w:rPr>
                <w:rFonts w:hint="eastAsia" w:ascii="宋体" w:hAnsi="宋体"/>
                <w:kern w:val="0"/>
                <w:sz w:val="24"/>
                <w:lang w:val="en-US" w:eastAsia="zh-CN"/>
              </w:rPr>
              <w:t>合同签订生效，收到</w:t>
            </w:r>
            <w:r>
              <w:rPr>
                <w:rFonts w:hint="eastAsia"/>
                <w:sz w:val="24"/>
              </w:rPr>
              <w:t>采购方通知</w:t>
            </w:r>
            <w:r>
              <w:rPr>
                <w:rFonts w:hint="eastAsia" w:ascii="宋体" w:hAnsi="宋体"/>
                <w:kern w:val="0"/>
                <w:sz w:val="24"/>
                <w:lang w:val="en-US" w:eastAsia="zh-CN"/>
              </w:rPr>
              <w:t>后</w:t>
            </w:r>
            <w:r>
              <w:rPr>
                <w:rFonts w:hint="eastAsia" w:ascii="宋体" w:hAnsi="宋体"/>
                <w:kern w:val="0"/>
                <w:sz w:val="24"/>
                <w:u w:val="single"/>
              </w:rPr>
              <w:t>45日历天</w:t>
            </w:r>
            <w:r>
              <w:rPr>
                <w:rFonts w:hint="eastAsia" w:ascii="宋体" w:hAnsi="宋体"/>
                <w:kern w:val="0"/>
                <w:sz w:val="24"/>
                <w:u w:val="single"/>
                <w:lang w:val="en-US" w:eastAsia="zh-CN"/>
              </w:rPr>
              <w:t>内完成升级改造并通过采购方验收。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ascii="宋体" w:hAnsi="宋体"/>
                <w:b/>
                <w:bCs/>
                <w:kern w:val="0"/>
                <w:sz w:val="24"/>
              </w:rPr>
            </w:pPr>
            <w:r>
              <w:rPr>
                <w:rFonts w:hint="eastAsia" w:ascii="宋体" w:hAnsi="宋体"/>
                <w:b/>
                <w:bCs/>
                <w:kern w:val="0"/>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hint="eastAsia" w:ascii="宋体" w:hAnsi="宋体" w:eastAsia="宋体"/>
                <w:kern w:val="0"/>
                <w:sz w:val="24"/>
                <w:lang w:val="en-US" w:eastAsia="zh-CN"/>
              </w:rPr>
            </w:pPr>
            <w:r>
              <w:rPr>
                <w:rFonts w:hint="eastAsia" w:ascii="宋体" w:hAnsi="宋体"/>
                <w:sz w:val="24"/>
              </w:rPr>
              <w:t>☑ 其他：</w:t>
            </w:r>
            <w:r>
              <w:rPr>
                <w:rFonts w:hint="eastAsia" w:ascii="宋体" w:hAnsi="宋体"/>
                <w:sz w:val="24"/>
                <w:u w:val="single"/>
              </w:rPr>
              <w:t>踏勘时间为2024年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29</w:t>
            </w:r>
            <w:r>
              <w:rPr>
                <w:rFonts w:hint="eastAsia" w:ascii="宋体" w:hAnsi="宋体"/>
                <w:sz w:val="24"/>
                <w:u w:val="single"/>
              </w:rPr>
              <w:t>日</w:t>
            </w:r>
            <w:r>
              <w:rPr>
                <w:rFonts w:hint="eastAsia" w:ascii="宋体" w:hAnsi="宋体"/>
                <w:sz w:val="24"/>
                <w:u w:val="single"/>
                <w:lang w:val="en-US" w:eastAsia="zh-CN"/>
              </w:rPr>
              <w:t>上午9:00至下午15:30</w:t>
            </w:r>
            <w:r>
              <w:rPr>
                <w:rFonts w:hint="eastAsia" w:ascii="宋体" w:hAnsi="宋体"/>
                <w:sz w:val="24"/>
                <w:u w:val="single"/>
              </w:rPr>
              <w:t>，踏勘联系人</w:t>
            </w:r>
            <w:r>
              <w:rPr>
                <w:rFonts w:hint="eastAsia" w:ascii="宋体" w:hAnsi="宋体"/>
                <w:sz w:val="24"/>
                <w:u w:val="single"/>
                <w:lang w:val="en-US" w:eastAsia="zh-CN"/>
              </w:rPr>
              <w:t>刘</w:t>
            </w:r>
            <w:r>
              <w:rPr>
                <w:rFonts w:hint="eastAsia" w:ascii="宋体" w:hAnsi="宋体"/>
                <w:sz w:val="24"/>
                <w:u w:val="single"/>
              </w:rPr>
              <w:t>经理</w:t>
            </w:r>
            <w:r>
              <w:rPr>
                <w:rFonts w:hint="eastAsia" w:ascii="宋体" w:hAnsi="宋体"/>
                <w:sz w:val="24"/>
                <w:u w:val="single"/>
                <w:lang w:val="en-US" w:eastAsia="zh-CN"/>
              </w:rPr>
              <w:t>18019195309</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询问联系方式</w:t>
            </w:r>
          </w:p>
        </w:tc>
        <w:tc>
          <w:tcPr>
            <w:tcW w:w="6843" w:type="dxa"/>
            <w:vAlign w:val="center"/>
          </w:tcPr>
          <w:p>
            <w:pPr>
              <w:autoSpaceDE w:val="0"/>
              <w:autoSpaceDN w:val="0"/>
              <w:adjustRightInd w:val="0"/>
              <w:spacing w:after="120" w:afterLines="50"/>
              <w:ind w:left="224" w:leftChars="104" w:hanging="6"/>
              <w:jc w:val="left"/>
              <w:rPr>
                <w:rFonts w:ascii="宋体" w:hAnsi="宋体"/>
                <w:kern w:val="0"/>
                <w:sz w:val="24"/>
              </w:rPr>
            </w:pPr>
            <w:r>
              <w:rPr>
                <w:rFonts w:hint="eastAsia" w:ascii="宋体" w:hAnsi="宋体"/>
                <w:kern w:val="0"/>
                <w:sz w:val="24"/>
              </w:rPr>
              <w:t xml:space="preserve">联系人：  </w:t>
            </w:r>
            <w:r>
              <w:rPr>
                <w:rFonts w:hint="eastAsia" w:ascii="宋体" w:hAnsi="宋体"/>
                <w:kern w:val="0"/>
                <w:sz w:val="24"/>
                <w:u w:val="single"/>
              </w:rPr>
              <w:t>孔万里</w:t>
            </w:r>
          </w:p>
          <w:p>
            <w:pPr>
              <w:autoSpaceDE w:val="0"/>
              <w:autoSpaceDN w:val="0"/>
              <w:adjustRightInd w:val="0"/>
              <w:spacing w:after="120" w:afterLines="50"/>
              <w:ind w:left="224" w:leftChars="104" w:hanging="6"/>
              <w:jc w:val="left"/>
              <w:rPr>
                <w:rFonts w:ascii="宋体" w:hAnsi="宋体"/>
                <w:kern w:val="0"/>
                <w:sz w:val="24"/>
                <w:u w:val="single"/>
              </w:rPr>
            </w:pPr>
            <w:r>
              <w:rPr>
                <w:rFonts w:hint="eastAsia" w:ascii="宋体" w:hAnsi="宋体"/>
                <w:kern w:val="0"/>
                <w:sz w:val="24"/>
              </w:rPr>
              <w:t>联系电话：</w:t>
            </w:r>
            <w:r>
              <w:rPr>
                <w:rFonts w:hint="eastAsia" w:ascii="宋体" w:hAnsi="宋体"/>
                <w:kern w:val="0"/>
                <w:sz w:val="24"/>
                <w:u w:val="single"/>
              </w:rPr>
              <w:t>18019196725</w:t>
            </w:r>
          </w:p>
          <w:p>
            <w:pPr>
              <w:autoSpaceDE w:val="0"/>
              <w:autoSpaceDN w:val="0"/>
              <w:adjustRightInd w:val="0"/>
              <w:spacing w:after="120" w:afterLines="50"/>
              <w:ind w:left="224" w:leftChars="104" w:hanging="6"/>
              <w:jc w:val="left"/>
              <w:rPr>
                <w:rFonts w:ascii="宋体" w:hAnsi="宋体"/>
                <w:kern w:val="0"/>
                <w:sz w:val="24"/>
              </w:rPr>
            </w:pPr>
            <w:r>
              <w:rPr>
                <w:rFonts w:hint="eastAsia" w:ascii="宋体" w:hAnsi="宋体"/>
                <w:kern w:val="0"/>
                <w:sz w:val="24"/>
              </w:rPr>
              <w:t>联系地址：</w:t>
            </w:r>
            <w:r>
              <w:rPr>
                <w:rFonts w:hint="eastAsia" w:ascii="宋体" w:hAnsi="宋体"/>
                <w:kern w:val="0"/>
                <w:sz w:val="24"/>
                <w:u w:val="single"/>
              </w:rPr>
              <w:t>上海闵行江川东路100号</w:t>
            </w:r>
          </w:p>
          <w:p>
            <w:pPr>
              <w:autoSpaceDE w:val="0"/>
              <w:autoSpaceDN w:val="0"/>
              <w:adjustRightInd w:val="0"/>
              <w:ind w:left="224" w:leftChars="104" w:hanging="6"/>
              <w:jc w:val="left"/>
              <w:rPr>
                <w:rFonts w:ascii="宋体" w:hAnsi="宋体"/>
                <w:kern w:val="0"/>
                <w:sz w:val="24"/>
              </w:rPr>
            </w:pPr>
            <w:r>
              <w:rPr>
                <w:rFonts w:hint="eastAsia" w:ascii="宋体" w:hAnsi="宋体"/>
                <w:kern w:val="0"/>
                <w:sz w:val="24"/>
              </w:rPr>
              <w:t>联系邮箱：</w:t>
            </w:r>
            <w:r>
              <w:rPr>
                <w:rFonts w:hint="eastAsia" w:ascii="宋体" w:hAnsi="宋体"/>
                <w:kern w:val="0"/>
                <w:sz w:val="24"/>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响应文件提交方式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联系人：</w:t>
            </w:r>
            <w:r>
              <w:rPr>
                <w:rFonts w:hint="eastAsia" w:ascii="宋体" w:hAnsi="宋体"/>
                <w:sz w:val="24"/>
                <w:u w:val="single"/>
              </w:rPr>
              <w:t>孔万里</w:t>
            </w:r>
            <w:r>
              <w:rPr>
                <w:rFonts w:hint="eastAsia" w:ascii="宋体" w:hAnsi="宋体"/>
                <w:sz w:val="24"/>
              </w:rPr>
              <w:t xml:space="preserve">    联系方式：</w:t>
            </w:r>
            <w:r>
              <w:rPr>
                <w:rFonts w:hint="eastAsia" w:ascii="宋体" w:hAnsi="宋体"/>
                <w:sz w:val="24"/>
                <w:u w:val="single"/>
              </w:rPr>
              <w:t>18019196725</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□纸质邮寄/现场送达至：</w:t>
            </w:r>
            <w:r>
              <w:rPr>
                <w:rFonts w:hint="eastAsia" w:ascii="宋体" w:hAnsi="宋体"/>
                <w:sz w:val="24"/>
                <w:u w:val="single"/>
              </w:rPr>
              <w:t>上海市闵行区江川东路100号</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☑电子提交至：</w:t>
            </w:r>
            <w:r>
              <w:rPr>
                <w:rFonts w:hint="eastAsia" w:ascii="宋体" w:hAnsi="宋体"/>
                <w:sz w:val="24"/>
                <w:u w:val="single"/>
              </w:rPr>
              <w:t>与纸质版一起以U盘或光盘形式</w:t>
            </w:r>
          </w:p>
          <w:p>
            <w:pPr>
              <w:autoSpaceDE w:val="0"/>
              <w:autoSpaceDN w:val="0"/>
              <w:adjustRightInd w:val="0"/>
              <w:ind w:firstLine="249" w:firstLineChars="104"/>
              <w:jc w:val="left"/>
              <w:rPr>
                <w:rFonts w:ascii="宋体" w:hAnsi="宋体"/>
                <w:kern w:val="0"/>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响应文件应</w:t>
            </w:r>
          </w:p>
          <w:p>
            <w:pPr>
              <w:autoSpaceDE w:val="0"/>
              <w:autoSpaceDN w:val="0"/>
              <w:adjustRightInd w:val="0"/>
              <w:jc w:val="center"/>
              <w:rPr>
                <w:rFonts w:ascii="宋体" w:hAnsi="宋体"/>
                <w:kern w:val="0"/>
                <w:sz w:val="24"/>
              </w:rPr>
            </w:pPr>
            <w:r>
              <w:rPr>
                <w:rFonts w:hint="eastAsia" w:ascii="宋体" w:hAnsi="宋体"/>
                <w:kern w:val="0"/>
                <w:sz w:val="24"/>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w:t>
            </w:r>
            <w:r>
              <w:rPr>
                <w:rFonts w:hint="eastAsia" w:ascii="Calibri" w:hAnsi="Calibri"/>
                <w:kern w:val="0"/>
                <w:sz w:val="24"/>
              </w:rPr>
              <w:t xml:space="preserve">竞争性谈判响应声明   </w:t>
            </w:r>
            <w:r>
              <w:rPr>
                <w:rFonts w:hint="eastAsia" w:ascii="宋体" w:hAnsi="宋体"/>
                <w:kern w:val="0"/>
                <w:sz w:val="24"/>
              </w:rPr>
              <w:t>□报价一览表   ☑分项报价表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☑商务要求响应表        ☑技术要求响应表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☑法定代表人声明        ☑法定代表人身份证复印件</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☑法定代表人授权委托书（如有）□ 质量体系认证证书</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☑授权代表人身份证复印件</w:t>
            </w:r>
          </w:p>
          <w:p>
            <w:pPr>
              <w:autoSpaceDE w:val="0"/>
              <w:autoSpaceDN w:val="0"/>
              <w:adjustRightInd w:val="0"/>
              <w:ind w:firstLine="249" w:firstLineChars="104"/>
              <w:jc w:val="left"/>
              <w:rPr>
                <w:rFonts w:ascii="宋体" w:hAnsi="宋体"/>
                <w:kern w:val="0"/>
                <w:sz w:val="24"/>
              </w:rPr>
            </w:pPr>
            <w:r>
              <w:rPr>
                <w:rFonts w:hint="eastAsia" w:ascii="宋体" w:hAnsi="宋体"/>
                <w:kern w:val="0"/>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响应文件盖章要求</w:t>
            </w:r>
          </w:p>
        </w:tc>
        <w:tc>
          <w:tcPr>
            <w:tcW w:w="6843" w:type="dxa"/>
            <w:vAlign w:val="center"/>
          </w:tcPr>
          <w:p>
            <w:pPr>
              <w:autoSpaceDE w:val="0"/>
              <w:autoSpaceDN w:val="0"/>
              <w:adjustRightInd w:val="0"/>
              <w:spacing w:before="120" w:beforeLines="50" w:line="360" w:lineRule="auto"/>
              <w:rPr>
                <w:rFonts w:ascii="宋体" w:hAnsi="宋体"/>
                <w:kern w:val="0"/>
                <w:sz w:val="24"/>
              </w:rPr>
            </w:pPr>
            <w:r>
              <w:rPr>
                <w:rFonts w:hint="eastAsia" w:ascii="宋体" w:hAnsi="宋体"/>
                <w:kern w:val="0"/>
                <w:sz w:val="24"/>
              </w:rPr>
              <w:t>响应文件中的以下内容应加盖公章：</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响应文件（骑缝章）   ☑ 营业执照  ☑ 近三年财务报表</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 业绩证明   □ 质量体系认证证书   □报价一览表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☑分项报价表    ☑ </w:t>
            </w:r>
            <w:r>
              <w:rPr>
                <w:rFonts w:hint="eastAsia" w:ascii="Calibri" w:hAnsi="Calibri"/>
                <w:kern w:val="0"/>
                <w:sz w:val="24"/>
              </w:rPr>
              <w:t>竞争性谈判响应声明</w:t>
            </w:r>
            <w:r>
              <w:rPr>
                <w:rFonts w:hint="eastAsia" w:ascii="宋体" w:hAnsi="宋体"/>
                <w:kern w:val="0"/>
                <w:sz w:val="24"/>
              </w:rPr>
              <w:t xml:space="preserve">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法定代表人声明    ☑ 法定代表人授权委托书（如有）</w:t>
            </w:r>
          </w:p>
          <w:p>
            <w:pPr>
              <w:autoSpaceDE w:val="0"/>
              <w:autoSpaceDN w:val="0"/>
              <w:adjustRightInd w:val="0"/>
              <w:ind w:firstLine="240" w:firstLineChars="100"/>
              <w:jc w:val="left"/>
              <w:rPr>
                <w:rFonts w:ascii="宋体" w:hAnsi="宋体"/>
                <w:b/>
                <w:bCs/>
                <w:kern w:val="0"/>
                <w:sz w:val="24"/>
              </w:rPr>
            </w:pPr>
            <w:r>
              <w:rPr>
                <w:rFonts w:hint="eastAsia" w:ascii="宋体" w:hAnsi="宋体"/>
                <w:kern w:val="0"/>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截止时间</w:t>
            </w:r>
          </w:p>
        </w:tc>
        <w:tc>
          <w:tcPr>
            <w:tcW w:w="6843" w:type="dxa"/>
            <w:vAlign w:val="center"/>
          </w:tcPr>
          <w:p>
            <w:pPr>
              <w:autoSpaceDE w:val="0"/>
              <w:autoSpaceDN w:val="0"/>
              <w:adjustRightInd w:val="0"/>
              <w:jc w:val="center"/>
              <w:rPr>
                <w:rFonts w:ascii="宋体" w:hAnsi="宋体"/>
                <w:kern w:val="0"/>
                <w:sz w:val="24"/>
              </w:rPr>
            </w:pPr>
            <w:r>
              <w:rPr>
                <w:rFonts w:hint="eastAsia" w:ascii="宋体" w:hAnsi="宋体"/>
                <w:b/>
                <w:bCs/>
                <w:kern w:val="0"/>
                <w:sz w:val="24"/>
              </w:rPr>
              <w:t>2024年</w:t>
            </w:r>
            <w:r>
              <w:rPr>
                <w:rFonts w:hint="eastAsia" w:ascii="宋体" w:hAnsi="宋体"/>
                <w:b/>
                <w:bCs/>
                <w:kern w:val="0"/>
                <w:sz w:val="24"/>
                <w:lang w:val="en-US" w:eastAsia="zh-CN"/>
              </w:rPr>
              <w:t>7</w:t>
            </w:r>
            <w:r>
              <w:rPr>
                <w:rFonts w:hint="eastAsia" w:ascii="宋体" w:hAnsi="宋体"/>
                <w:b/>
                <w:bCs/>
                <w:kern w:val="0"/>
                <w:sz w:val="24"/>
              </w:rPr>
              <w:t>月</w:t>
            </w:r>
            <w:r>
              <w:rPr>
                <w:rFonts w:hint="eastAsia" w:ascii="宋体" w:hAnsi="宋体"/>
                <w:b/>
                <w:bCs/>
                <w:kern w:val="0"/>
                <w:sz w:val="24"/>
                <w:lang w:val="en-US" w:eastAsia="zh-CN"/>
              </w:rPr>
              <w:t>31</w:t>
            </w:r>
            <w:r>
              <w:rPr>
                <w:rFonts w:hint="eastAsia" w:ascii="宋体" w:hAnsi="宋体"/>
                <w:b/>
                <w:bCs/>
                <w:kern w:val="0"/>
                <w:sz w:val="24"/>
              </w:rPr>
              <w:t>日</w:t>
            </w:r>
            <w:r>
              <w:rPr>
                <w:rFonts w:hint="eastAsia" w:ascii="宋体" w:hAnsi="宋体"/>
                <w:b/>
                <w:bCs/>
                <w:kern w:val="0"/>
                <w:sz w:val="24"/>
                <w:lang w:val="en-US" w:eastAsia="zh-CN"/>
              </w:rPr>
              <w:t>17</w:t>
            </w:r>
            <w:r>
              <w:rPr>
                <w:rFonts w:hint="eastAsia" w:ascii="宋体" w:hAnsi="宋体"/>
                <w:b/>
                <w:bCs/>
                <w:kern w:val="0"/>
                <w:sz w:val="24"/>
              </w:rPr>
              <w:t>：</w:t>
            </w:r>
            <w:r>
              <w:rPr>
                <w:rFonts w:hint="eastAsia" w:ascii="宋体" w:hAnsi="宋体"/>
                <w:b/>
                <w:bCs/>
                <w:kern w:val="0"/>
                <w:sz w:val="24"/>
                <w:lang w:val="en-US" w:eastAsia="zh-CN"/>
              </w:rPr>
              <w:t>00</w:t>
            </w:r>
            <w:r>
              <w:rPr>
                <w:rFonts w:hint="eastAsia" w:ascii="宋体" w:hAnsi="宋体"/>
                <w:b/>
                <w:bCs/>
                <w:kern w:val="0"/>
                <w:sz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3.4</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响应文件数量</w:t>
            </w:r>
          </w:p>
        </w:tc>
        <w:tc>
          <w:tcPr>
            <w:tcW w:w="6843" w:type="dxa"/>
            <w:vAlign w:val="center"/>
          </w:tcPr>
          <w:p>
            <w:pPr>
              <w:autoSpaceDE w:val="0"/>
              <w:autoSpaceDN w:val="0"/>
              <w:adjustRightInd w:val="0"/>
              <w:jc w:val="center"/>
              <w:rPr>
                <w:rFonts w:hint="eastAsia" w:ascii="Calibri" w:hAnsi="Calibri"/>
                <w:kern w:val="0"/>
                <w:sz w:val="24"/>
              </w:rPr>
            </w:pPr>
            <w:r>
              <w:rPr>
                <w:rFonts w:hint="eastAsia" w:ascii="Calibri" w:hAnsi="Calibri"/>
                <w:kern w:val="0"/>
                <w:sz w:val="24"/>
              </w:rPr>
              <w:t>需密封：纸质版 1 份，电子版（U盘或光盘）1 份</w:t>
            </w:r>
          </w:p>
          <w:p>
            <w:pPr>
              <w:autoSpaceDE w:val="0"/>
              <w:autoSpaceDN w:val="0"/>
              <w:adjustRightInd w:val="0"/>
              <w:jc w:val="center"/>
              <w:rPr>
                <w:rFonts w:ascii="Calibri" w:hAnsi="Calibri"/>
                <w:kern w:val="0"/>
                <w:sz w:val="24"/>
              </w:rPr>
            </w:pPr>
            <w:r>
              <w:rPr>
                <w:rFonts w:hint="eastAsia" w:ascii="Calibri" w:hAnsi="Calibri"/>
                <w:kern w:val="0"/>
                <w:sz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3.5</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响应文件有效期</w:t>
            </w:r>
          </w:p>
        </w:tc>
        <w:tc>
          <w:tcPr>
            <w:tcW w:w="6843" w:type="dxa"/>
            <w:vAlign w:val="center"/>
          </w:tcPr>
          <w:p>
            <w:pPr>
              <w:autoSpaceDE w:val="0"/>
              <w:autoSpaceDN w:val="0"/>
              <w:adjustRightInd w:val="0"/>
              <w:ind w:firstLine="249" w:firstLineChars="104"/>
              <w:jc w:val="center"/>
              <w:rPr>
                <w:rFonts w:ascii="宋体" w:hAnsi="宋体"/>
                <w:kern w:val="0"/>
                <w:sz w:val="24"/>
              </w:rPr>
            </w:pPr>
            <w:r>
              <w:rPr>
                <w:rFonts w:hint="eastAsia" w:ascii="宋体" w:hAnsi="宋体"/>
                <w:kern w:val="0"/>
                <w:sz w:val="24"/>
              </w:rPr>
              <w:t>自递交响应文件之日起</w:t>
            </w:r>
            <w:r>
              <w:rPr>
                <w:rFonts w:hint="eastAsia" w:ascii="宋体" w:hAnsi="宋体"/>
                <w:kern w:val="0"/>
                <w:sz w:val="24"/>
                <w:u w:val="single"/>
              </w:rPr>
              <w:t xml:space="preserve"> </w:t>
            </w:r>
            <w:r>
              <w:rPr>
                <w:rFonts w:hint="eastAsia" w:ascii="宋体" w:hAnsi="宋体"/>
                <w:kern w:val="0"/>
                <w:sz w:val="24"/>
                <w:u w:val="single"/>
                <w:lang w:val="en-US" w:eastAsia="zh-CN"/>
              </w:rPr>
              <w:t>90</w:t>
            </w:r>
            <w:r>
              <w:rPr>
                <w:rFonts w:hint="eastAsia" w:ascii="宋体" w:hAnsi="宋体"/>
                <w:kern w:val="0"/>
                <w:sz w:val="24"/>
                <w:u w:val="single"/>
              </w:rPr>
              <w:t xml:space="preserve"> </w:t>
            </w:r>
            <w:r>
              <w:rPr>
                <w:rFonts w:hint="eastAsia" w:ascii="宋体" w:hAnsi="宋体"/>
                <w:kern w:val="0"/>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ascii="宋体" w:hAnsi="宋体"/>
                <w:kern w:val="0"/>
                <w:sz w:val="24"/>
              </w:rPr>
            </w:pPr>
            <w:r>
              <w:rPr>
                <w:rFonts w:hint="eastAsia" w:ascii="宋体" w:hAnsi="宋体"/>
                <w:b/>
                <w:bCs/>
                <w:kern w:val="0"/>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4.1</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报价不一致</w:t>
            </w:r>
          </w:p>
          <w:p>
            <w:pPr>
              <w:autoSpaceDE w:val="0"/>
              <w:autoSpaceDN w:val="0"/>
              <w:jc w:val="center"/>
              <w:rPr>
                <w:rFonts w:ascii="宋体" w:hAnsi="宋体"/>
                <w:kern w:val="0"/>
                <w:sz w:val="24"/>
              </w:rPr>
            </w:pPr>
            <w:r>
              <w:rPr>
                <w:rFonts w:hint="eastAsia" w:ascii="宋体" w:hAnsi="宋体"/>
                <w:kern w:val="0"/>
                <w:sz w:val="24"/>
              </w:rPr>
              <w:t>评判标准</w:t>
            </w:r>
          </w:p>
        </w:tc>
        <w:tc>
          <w:tcPr>
            <w:tcW w:w="6843" w:type="dxa"/>
            <w:vAlign w:val="center"/>
          </w:tcPr>
          <w:p>
            <w:pPr>
              <w:autoSpaceDE w:val="0"/>
              <w:autoSpaceDN w:val="0"/>
              <w:spacing w:before="120" w:beforeLines="50" w:after="120" w:afterLines="50"/>
              <w:jc w:val="left"/>
              <w:rPr>
                <w:rFonts w:ascii="Calibri" w:hAnsi="Calibri"/>
                <w:kern w:val="0"/>
                <w:sz w:val="24"/>
              </w:rPr>
            </w:pPr>
            <w:r>
              <w:rPr>
                <w:rFonts w:ascii="Calibri" w:hAnsi="Calibri"/>
                <w:kern w:val="0"/>
                <w:sz w:val="24"/>
              </w:rPr>
              <w:t>如</w:t>
            </w:r>
            <w:r>
              <w:rPr>
                <w:rFonts w:hint="eastAsia" w:ascii="Calibri" w:hAnsi="Calibri"/>
                <w:kern w:val="0"/>
                <w:sz w:val="24"/>
              </w:rPr>
              <w:t>响应</w:t>
            </w:r>
            <w:r>
              <w:rPr>
                <w:rFonts w:ascii="Calibri" w:hAnsi="Calibri"/>
                <w:kern w:val="0"/>
                <w:sz w:val="24"/>
              </w:rPr>
              <w:t>文件中出现报价且前后不一致的</w:t>
            </w:r>
            <w:r>
              <w:rPr>
                <w:rFonts w:hint="eastAsia" w:ascii="Calibri" w:hAnsi="Calibri"/>
                <w:kern w:val="0"/>
                <w:sz w:val="24"/>
              </w:rPr>
              <w:t>：</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以报价一览表总价（大写）为准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以分项价格表分项报价为准，修正总价</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以所有价格中最低者为准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4.2</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报价漏项</w:t>
            </w:r>
          </w:p>
        </w:tc>
        <w:tc>
          <w:tcPr>
            <w:tcW w:w="6843"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如响应文件中分项报价漏项：</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废标</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默认为免费提供</w:t>
            </w:r>
          </w:p>
          <w:p>
            <w:pPr>
              <w:autoSpaceDE w:val="0"/>
              <w:autoSpaceDN w:val="0"/>
              <w:spacing w:before="120" w:beforeLines="50" w:after="120" w:afterLines="50"/>
              <w:ind w:firstLine="240" w:firstLineChars="100"/>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4.3</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非“*”号项条款不响应</w:t>
            </w:r>
          </w:p>
        </w:tc>
        <w:tc>
          <w:tcPr>
            <w:tcW w:w="6843"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u w:val="single"/>
              </w:rPr>
              <w:t>含3条</w:t>
            </w:r>
            <w:r>
              <w:rPr>
                <w:rFonts w:hint="eastAsia" w:ascii="宋体" w:hAnsi="宋体"/>
                <w:sz w:val="24"/>
              </w:rPr>
              <w:t>）不响应，废标</w:t>
            </w:r>
          </w:p>
          <w:p>
            <w:pPr>
              <w:autoSpaceDE w:val="0"/>
              <w:autoSpaceDN w:val="0"/>
              <w:spacing w:before="120" w:beforeLines="50" w:after="120" w:afterLines="50"/>
              <w:ind w:left="224" w:leftChars="104" w:hanging="6"/>
              <w:jc w:val="left"/>
              <w:rPr>
                <w:rFonts w:hint="eastAsia" w:ascii="宋体" w:hAnsi="宋体" w:eastAsia="宋体"/>
                <w:kern w:val="0"/>
                <w:sz w:val="24"/>
                <w:lang w:eastAsia="zh-CN"/>
              </w:rPr>
            </w:pPr>
            <w:r>
              <w:rPr>
                <w:rFonts w:hint="eastAsia" w:ascii="宋体" w:hAnsi="宋体"/>
                <w:sz w:val="24"/>
              </w:rPr>
              <w:t>☑ 每不响应1条非“*”号项条款，评审价格上调5%（即1条不响应上调5%，2条不响应上调10%</w:t>
            </w:r>
            <w:r>
              <w:rPr>
                <w:rFonts w:hint="eastAsia" w:ascii="宋体" w:hAnsi="宋体"/>
                <w:sz w:val="24"/>
                <w:lang w:eastAsia="zh-CN"/>
              </w:rPr>
              <w:t>）</w:t>
            </w:r>
          </w:p>
        </w:tc>
      </w:tr>
      <w:bookmarkEnd w:id="9"/>
    </w:tbl>
    <w:p>
      <w:pPr>
        <w:jc w:val="center"/>
        <w:outlineLvl w:val="0"/>
        <w:rPr>
          <w:rFonts w:ascii="方正小标宋简体" w:hAnsi="方正小标宋简体" w:eastAsia="方正小标宋简体" w:cs="方正小标宋简体"/>
          <w:b/>
          <w:color w:val="000000"/>
          <w:sz w:val="36"/>
          <w:szCs w:val="36"/>
        </w:rPr>
      </w:pPr>
      <w:bookmarkStart w:id="11" w:name="_Hlk27473954"/>
      <w:r>
        <w:rPr>
          <w:rFonts w:ascii="宋体" w:hAnsi="宋体"/>
          <w:b/>
          <w:color w:val="000000"/>
          <w:sz w:val="40"/>
        </w:rPr>
        <w:br w:type="page"/>
      </w:r>
      <w:bookmarkEnd w:id="10"/>
      <w:bookmarkEnd w:id="11"/>
      <w:bookmarkStart w:id="12" w:name="_Toc15799_WPSOffice_Level1"/>
      <w:r>
        <w:rPr>
          <w:rFonts w:hint="eastAsia" w:ascii="方正小标宋简体" w:hAnsi="方正小标宋简体" w:eastAsia="方正小标宋简体" w:cs="方正小标宋简体"/>
          <w:b/>
          <w:color w:val="000000"/>
          <w:sz w:val="36"/>
          <w:szCs w:val="36"/>
        </w:rPr>
        <w:t>第二章  响应单位须知</w:t>
      </w:r>
      <w:bookmarkEnd w:id="12"/>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响应注意事项：</w:t>
      </w:r>
    </w:p>
    <w:p>
      <w:pPr>
        <w:pStyle w:val="11"/>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1"/>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1"/>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技术要求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响应文件编制、提交要求</w:t>
      </w:r>
    </w:p>
    <w:p>
      <w:pPr>
        <w:pStyle w:val="11"/>
        <w:numPr>
          <w:ilvl w:val="0"/>
          <w:numId w:val="3"/>
        </w:numPr>
        <w:spacing w:line="400" w:lineRule="exact"/>
        <w:ind w:left="401" w:hanging="400" w:hangingChars="167"/>
        <w:rPr>
          <w:sz w:val="24"/>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rPr>
        <w:t>本文件第一章 3.2中要求的所有文件；</w:t>
      </w:r>
    </w:p>
    <w:p>
      <w:pPr>
        <w:numPr>
          <w:ilvl w:val="0"/>
          <w:numId w:val="4"/>
        </w:numPr>
        <w:spacing w:line="400" w:lineRule="exact"/>
        <w:ind w:firstLine="480" w:firstLineChars="200"/>
        <w:rPr>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1"/>
        <w:numPr>
          <w:ilvl w:val="0"/>
          <w:numId w:val="3"/>
        </w:numPr>
        <w:spacing w:line="400" w:lineRule="exact"/>
        <w:ind w:left="401" w:hanging="400" w:hangingChars="167"/>
        <w:rPr>
          <w:sz w:val="24"/>
        </w:rPr>
      </w:pPr>
      <w:r>
        <w:rPr>
          <w:rFonts w:hint="eastAsia"/>
          <w:sz w:val="24"/>
        </w:rPr>
        <w:t>响应单位应完整地填写本文件中提供的报价一览表和分项报价表。</w:t>
      </w:r>
    </w:p>
    <w:p>
      <w:pPr>
        <w:pStyle w:val="11"/>
        <w:numPr>
          <w:ilvl w:val="0"/>
          <w:numId w:val="3"/>
        </w:numPr>
        <w:spacing w:line="400" w:lineRule="exact"/>
        <w:ind w:left="402" w:hanging="402" w:hangingChars="167"/>
        <w:rPr>
          <w:rFonts w:ascii="宋体" w:hAnsi="宋体" w:cs="宋体"/>
          <w:sz w:val="24"/>
        </w:rPr>
      </w:pPr>
      <w:r>
        <w:rPr>
          <w:rFonts w:hint="eastAsia" w:ascii="宋体" w:hAnsi="宋体" w:cs="宋体"/>
          <w:b/>
          <w:bCs/>
          <w:sz w:val="24"/>
        </w:rPr>
        <w:t>响应单位</w:t>
      </w:r>
      <w:r>
        <w:rPr>
          <w:rFonts w:hint="eastAsia" w:ascii="宋体" w:hAnsi="宋体" w:cs="宋体"/>
          <w:b/>
          <w:bCs/>
          <w:spacing w:val="-4"/>
          <w:sz w:val="24"/>
        </w:rPr>
        <w:t>应根据邀请文件的要求提供服务方案等内容,</w:t>
      </w:r>
      <w:r>
        <w:rPr>
          <w:rFonts w:hint="eastAsia" w:ascii="宋体" w:hAnsi="宋体" w:cs="宋体"/>
          <w:b/>
          <w:bCs/>
          <w:spacing w:val="-3"/>
          <w:sz w:val="24"/>
        </w:rPr>
        <w:t>以佐证对服务要求的响应。</w:t>
      </w:r>
    </w:p>
    <w:p>
      <w:pPr>
        <w:pStyle w:val="11"/>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11"/>
        <w:numPr>
          <w:ilvl w:val="0"/>
          <w:numId w:val="3"/>
        </w:numPr>
        <w:spacing w:line="400" w:lineRule="exact"/>
        <w:ind w:left="401" w:hanging="400" w:hangingChars="167"/>
        <w:rPr>
          <w:sz w:val="24"/>
        </w:rPr>
      </w:pPr>
      <w:r>
        <w:rPr>
          <w:rFonts w:hint="eastAsia"/>
          <w:sz w:val="24"/>
        </w:rPr>
        <w:t>响应文件的</w:t>
      </w:r>
      <w:r>
        <w:rPr>
          <w:rFonts w:hint="eastAsia"/>
          <w:sz w:val="24"/>
          <w:lang w:val="en-US" w:eastAsia="zh-CN"/>
        </w:rPr>
        <w:t>纸质版本</w:t>
      </w:r>
      <w:r>
        <w:rPr>
          <w:rFonts w:hint="eastAsia"/>
          <w:sz w:val="24"/>
        </w:rPr>
        <w:t>应打印或用不褪色墨水书写，不得有任何修改。提供的电子版本应为响应文件</w:t>
      </w:r>
      <w:r>
        <w:rPr>
          <w:rFonts w:hint="eastAsia"/>
          <w:sz w:val="24"/>
          <w:lang w:val="en-US" w:eastAsia="zh-CN"/>
        </w:rPr>
        <w:t>纸质版</w:t>
      </w:r>
      <w:r>
        <w:rPr>
          <w:rFonts w:hint="eastAsia"/>
          <w:sz w:val="24"/>
        </w:rPr>
        <w:t>的扫描件（红章）。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竞争性谈判步骤：</w:t>
      </w:r>
    </w:p>
    <w:p>
      <w:pPr>
        <w:pStyle w:val="11"/>
        <w:numPr>
          <w:ilvl w:val="0"/>
          <w:numId w:val="5"/>
        </w:numPr>
        <w:spacing w:line="400" w:lineRule="exact"/>
        <w:ind w:left="417" w:leftChars="9" w:hanging="398" w:hangingChars="166"/>
        <w:rPr>
          <w:sz w:val="24"/>
        </w:rPr>
      </w:pPr>
      <w:r>
        <w:rPr>
          <w:rFonts w:hint="eastAsia"/>
          <w:sz w:val="24"/>
        </w:rPr>
        <w:t>所有被邀请单位于规定的时间截止前提交响应文件。</w:t>
      </w:r>
    </w:p>
    <w:p>
      <w:pPr>
        <w:pStyle w:val="11"/>
        <w:numPr>
          <w:ilvl w:val="0"/>
          <w:numId w:val="5"/>
        </w:numPr>
        <w:spacing w:line="400" w:lineRule="exact"/>
        <w:ind w:left="417" w:leftChars="9" w:hanging="398" w:hangingChars="166"/>
        <w:rPr>
          <w:sz w:val="24"/>
        </w:rPr>
      </w:pPr>
      <w:r>
        <w:rPr>
          <w:rFonts w:hint="eastAsia"/>
          <w:sz w:val="24"/>
        </w:rPr>
        <w:t>客服公司组建</w:t>
      </w:r>
      <w:r>
        <w:rPr>
          <w:rFonts w:hint="eastAsia"/>
          <w:sz w:val="24"/>
          <w:lang w:eastAsia="zh-CN"/>
        </w:rPr>
        <w:t>供应商选择工作小组</w:t>
      </w:r>
      <w:r>
        <w:rPr>
          <w:rFonts w:hint="eastAsia"/>
          <w:sz w:val="24"/>
        </w:rPr>
        <w:t>组织开标（响应单位无需到场）。</w:t>
      </w:r>
    </w:p>
    <w:p>
      <w:pPr>
        <w:pStyle w:val="11"/>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按照竞争性谈判文件要求开展评审，评审过程中，</w:t>
      </w:r>
      <w:r>
        <w:rPr>
          <w:rFonts w:hint="eastAsia"/>
          <w:sz w:val="24"/>
          <w:lang w:eastAsia="zh-CN"/>
        </w:rPr>
        <w:t>供应商选择工作小组</w:t>
      </w:r>
      <w:r>
        <w:rPr>
          <w:rFonts w:hint="eastAsia"/>
          <w:sz w:val="24"/>
        </w:rPr>
        <w:t>可与受邀供应商开展谈判，谈判后供应商应提交最终版的响应文件及报价。</w:t>
      </w:r>
    </w:p>
    <w:p>
      <w:pPr>
        <w:pStyle w:val="11"/>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选择满足竞争性谈判文件实质性要求，并且经评审最优的供应商为成交候选人。</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响应单位串标、围标的认定：</w:t>
      </w:r>
    </w:p>
    <w:p>
      <w:pPr>
        <w:pStyle w:val="11"/>
        <w:spacing w:line="400" w:lineRule="exact"/>
        <w:ind w:left="-10" w:leftChars="-5" w:firstLine="480"/>
        <w:rPr>
          <w:sz w:val="24"/>
        </w:rPr>
      </w:pPr>
      <w:r>
        <w:rPr>
          <w:rFonts w:hint="eastAsia"/>
          <w:sz w:val="24"/>
        </w:rPr>
        <w:t>响应单位有以下情况的，响应文件将认定无效。</w:t>
      </w:r>
    </w:p>
    <w:p>
      <w:pPr>
        <w:pStyle w:val="11"/>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11"/>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11"/>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11"/>
        <w:numPr>
          <w:ilvl w:val="0"/>
          <w:numId w:val="6"/>
        </w:numPr>
        <w:spacing w:line="400" w:lineRule="exact"/>
        <w:ind w:left="401" w:hanging="400" w:hangingChars="167"/>
        <w:rPr>
          <w:sz w:val="24"/>
        </w:rPr>
      </w:pPr>
      <w:r>
        <w:rPr>
          <w:rFonts w:hint="eastAsia"/>
          <w:sz w:val="24"/>
        </w:rPr>
        <w:t>不同响应单位的响应文件存在异常一致的错误；</w:t>
      </w:r>
    </w:p>
    <w:p>
      <w:pPr>
        <w:pStyle w:val="11"/>
        <w:numPr>
          <w:ilvl w:val="0"/>
          <w:numId w:val="6"/>
        </w:numPr>
        <w:spacing w:line="400" w:lineRule="exact"/>
        <w:ind w:left="401" w:hanging="400" w:hangingChars="167"/>
        <w:rPr>
          <w:sz w:val="24"/>
        </w:rPr>
      </w:pPr>
      <w:r>
        <w:rPr>
          <w:rFonts w:hint="eastAsia"/>
          <w:sz w:val="24"/>
        </w:rPr>
        <w:t>不同响应单位的响应文件相互混装。</w:t>
      </w:r>
    </w:p>
    <w:p>
      <w:pPr>
        <w:pStyle w:val="11"/>
        <w:spacing w:line="400" w:lineRule="exact"/>
        <w:ind w:firstLine="0" w:firstLineChars="0"/>
        <w:rPr>
          <w:sz w:val="24"/>
        </w:rPr>
      </w:pPr>
    </w:p>
    <w:p>
      <w:pPr>
        <w:jc w:val="center"/>
        <w:outlineLvl w:val="0"/>
      </w:pPr>
      <w:bookmarkStart w:id="13" w:name="_Hlk11752017"/>
      <w:bookmarkStart w:id="14" w:name="_Hlk11751980"/>
    </w:p>
    <w:p>
      <w:pPr>
        <w:jc w:val="center"/>
        <w:outlineLvl w:val="0"/>
      </w:pPr>
    </w:p>
    <w:p>
      <w:pPr>
        <w:jc w:val="center"/>
        <w:outlineLvl w:val="0"/>
        <w:rPr>
          <w:rFonts w:ascii="方正小标宋简体" w:hAnsi="方正小标宋简体" w:eastAsia="方正小标宋简体" w:cs="方正小标宋简体"/>
          <w:b/>
          <w:color w:val="000000"/>
          <w:sz w:val="36"/>
          <w:szCs w:val="36"/>
        </w:rPr>
      </w:pPr>
      <w:r>
        <w:br w:type="page"/>
      </w:r>
      <w:bookmarkStart w:id="15" w:name="_Toc31820_WPSOffice_Level1"/>
      <w:r>
        <w:rPr>
          <w:rFonts w:hint="eastAsia" w:ascii="方正小标宋简体" w:hAnsi="方正小标宋简体" w:eastAsia="方正小标宋简体" w:cs="方正小标宋简体"/>
          <w:b/>
          <w:color w:val="000000"/>
          <w:sz w:val="36"/>
          <w:szCs w:val="36"/>
        </w:rPr>
        <w:t>第三章  评审办法</w:t>
      </w:r>
      <w:bookmarkEnd w:id="15"/>
    </w:p>
    <w:p>
      <w:pPr>
        <w:adjustRightInd w:val="0"/>
        <w:snapToGrid w:val="0"/>
        <w:spacing w:line="360" w:lineRule="auto"/>
        <w:ind w:firstLine="480" w:firstLineChars="200"/>
        <w:rPr>
          <w:rFonts w:ascii="Calibri" w:hAnsi="Calibri" w:cs="Calibri"/>
          <w:snapToGrid w:val="0"/>
          <w:color w:val="000000"/>
          <w:sz w:val="24"/>
        </w:rPr>
      </w:pPr>
      <w:bookmarkStart w:id="16"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w:t>
      </w:r>
      <w:r>
        <w:rPr>
          <w:rFonts w:hint="eastAsia" w:ascii="Calibri" w:hAnsi="Calibri" w:cs="Calibri"/>
          <w:snapToGrid w:val="0"/>
          <w:sz w:val="24"/>
          <w:lang w:eastAsia="zh-CN"/>
        </w:rPr>
        <w:t>供应商选择工作小组</w:t>
      </w:r>
      <w:r>
        <w:rPr>
          <w:rFonts w:hint="eastAsia" w:ascii="Calibri" w:hAnsi="Calibri" w:cs="Calibri"/>
          <w:snapToGrid w:val="0"/>
          <w:sz w:val="24"/>
        </w:rPr>
        <w:t>负责</w:t>
      </w:r>
      <w:r>
        <w:rPr>
          <w:rFonts w:ascii="Calibri" w:hAnsi="Calibri" w:cs="Calibri"/>
          <w:snapToGrid w:val="0"/>
          <w:sz w:val="24"/>
          <w:lang w:eastAsia="ko-KR"/>
        </w:rPr>
        <w:t>。</w:t>
      </w:r>
      <w:r>
        <w:rPr>
          <w:rFonts w:hint="eastAsia" w:ascii="Calibri" w:hAnsi="Calibri" w:cs="Calibri"/>
          <w:snapToGrid w:val="0"/>
          <w:sz w:val="24"/>
          <w:lang w:eastAsia="zh-CN"/>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lang w:eastAsia="zh-CN"/>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w:t>
      </w:r>
      <w:r>
        <w:rPr>
          <w:rFonts w:hint="eastAsia" w:ascii="Calibri" w:hAnsi="Calibri" w:cs="Calibri"/>
          <w:snapToGrid w:val="0"/>
          <w:sz w:val="24"/>
          <w:lang w:eastAsia="zh-CN"/>
        </w:rPr>
        <w:t>供应商选择工作小组</w:t>
      </w:r>
      <w:r>
        <w:rPr>
          <w:rFonts w:hint="eastAsia" w:ascii="Calibri" w:hAnsi="Calibri" w:cs="Calibri"/>
          <w:snapToGrid w:val="0"/>
          <w:sz w:val="24"/>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lang w:eastAsia="zh-CN"/>
        </w:rPr>
        <w:t>供应商选择工作小组</w:t>
      </w:r>
      <w:r>
        <w:rPr>
          <w:rFonts w:hint="eastAsia" w:ascii="Calibri" w:hAnsi="Calibri" w:cs="Calibri"/>
          <w:snapToGrid w:val="0"/>
          <w:sz w:val="24"/>
        </w:rPr>
        <w:t>与响应单位开展商务谈判，谈判内容应仅限于对响应文件内容的确认以及对价格的谈判。谈判需形成书面文件，所有参与商务谈判的人员需签字确认。响应单位有义务配合</w:t>
      </w:r>
      <w:r>
        <w:rPr>
          <w:rFonts w:hint="eastAsia" w:ascii="Calibri" w:hAnsi="Calibri" w:cs="Calibri"/>
          <w:snapToGrid w:val="0"/>
          <w:sz w:val="24"/>
          <w:lang w:eastAsia="zh-CN"/>
        </w:rPr>
        <w:t>供应商选择工作小组</w:t>
      </w:r>
      <w:r>
        <w:rPr>
          <w:rFonts w:hint="eastAsia" w:ascii="Calibri" w:hAnsi="Calibri" w:cs="Calibri"/>
          <w:snapToGrid w:val="0"/>
          <w:sz w:val="24"/>
        </w:rPr>
        <w:t>的约谈要求。如响应单位拒绝</w:t>
      </w:r>
      <w:r>
        <w:rPr>
          <w:rFonts w:hint="eastAsia" w:ascii="Calibri" w:hAnsi="Calibri" w:cs="Calibri"/>
          <w:snapToGrid w:val="0"/>
          <w:sz w:val="24"/>
          <w:lang w:eastAsia="zh-CN"/>
        </w:rPr>
        <w:t>供应商选择工作小组</w:t>
      </w:r>
      <w:r>
        <w:rPr>
          <w:rFonts w:hint="eastAsia" w:ascii="Calibri" w:hAnsi="Calibri" w:cs="Calibri"/>
          <w:snapToGrid w:val="0"/>
          <w:sz w:val="24"/>
        </w:rPr>
        <w:t>的谈判要求，</w:t>
      </w:r>
      <w:r>
        <w:rPr>
          <w:rFonts w:hint="eastAsia" w:ascii="Calibri" w:hAnsi="Calibri" w:cs="Calibri"/>
          <w:snapToGrid w:val="0"/>
          <w:sz w:val="24"/>
          <w:lang w:eastAsia="zh-CN"/>
        </w:rPr>
        <w:t>供应商选择工作小组</w:t>
      </w:r>
      <w:r>
        <w:rPr>
          <w:rFonts w:hint="eastAsia" w:ascii="Calibri" w:hAnsi="Calibri" w:cs="Calibri"/>
          <w:snapToGrid w:val="0"/>
          <w:sz w:val="24"/>
        </w:rPr>
        <w:t>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bookmarkEnd w:id="16"/>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sz w:val="24"/>
        </w:rPr>
      </w:pPr>
      <w:r>
        <w:rPr>
          <w:rFonts w:hint="eastAsia"/>
          <w:sz w:val="24"/>
        </w:rPr>
        <w:t>评审步骤如下：</w:t>
      </w:r>
    </w:p>
    <w:p>
      <w:pPr>
        <w:numPr>
          <w:ilvl w:val="0"/>
          <w:numId w:val="8"/>
        </w:numPr>
        <w:spacing w:line="400" w:lineRule="exact"/>
        <w:ind w:firstLine="480" w:firstLineChars="200"/>
        <w:rPr>
          <w:sz w:val="24"/>
        </w:rPr>
      </w:pPr>
      <w:r>
        <w:rPr>
          <w:rFonts w:hint="eastAsia"/>
          <w:sz w:val="24"/>
        </w:rPr>
        <w:t>确认最终报价</w:t>
      </w:r>
    </w:p>
    <w:p>
      <w:pPr>
        <w:spacing w:line="400" w:lineRule="exact"/>
        <w:ind w:firstLine="480" w:firstLineChars="200"/>
        <w:rPr>
          <w:sz w:val="24"/>
        </w:rPr>
      </w:pPr>
      <w:r>
        <w:rPr>
          <w:rFonts w:hint="eastAsia"/>
          <w:sz w:val="24"/>
          <w:lang w:eastAsia="zh-CN"/>
        </w:rPr>
        <w:t>供应商选择工作小组</w:t>
      </w:r>
      <w:r>
        <w:rPr>
          <w:rFonts w:hint="eastAsia"/>
          <w:sz w:val="24"/>
        </w:rPr>
        <w:t>最通过符合性评审的响应单位的最终报价进行确认，经过谈判后有提供最后报价的，以最后报价为准。</w:t>
      </w:r>
    </w:p>
    <w:p>
      <w:pPr>
        <w:numPr>
          <w:ilvl w:val="0"/>
          <w:numId w:val="8"/>
        </w:numPr>
        <w:spacing w:line="400" w:lineRule="exact"/>
        <w:ind w:firstLine="480" w:firstLineChars="20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w:t>
      </w:r>
      <w:r>
        <w:rPr>
          <w:rFonts w:hint="eastAsia"/>
          <w:sz w:val="24"/>
          <w:lang w:eastAsia="zh-CN"/>
        </w:rPr>
        <w:t>供应商选择工作小组</w:t>
      </w:r>
      <w:r>
        <w:rPr>
          <w:rFonts w:hint="eastAsia"/>
          <w:sz w:val="24"/>
        </w:rPr>
        <w:t>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总价与单价不一致，按照本文件第一章第4.1条“报价不一致评判标准”调整价格</w:t>
      </w:r>
    </w:p>
    <w:p>
      <w:pPr>
        <w:numPr>
          <w:ilvl w:val="0"/>
          <w:numId w:val="9"/>
        </w:numPr>
        <w:spacing w:line="400" w:lineRule="exact"/>
        <w:ind w:firstLine="480" w:firstLineChars="200"/>
        <w:rPr>
          <w:sz w:val="24"/>
        </w:rPr>
      </w:pPr>
      <w:r>
        <w:rPr>
          <w:rFonts w:hint="eastAsia"/>
          <w:sz w:val="24"/>
        </w:rPr>
        <w:t>报价漏项，按照本文件第一章4.2“报价漏项”调整价格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sz w:val="24"/>
        </w:rPr>
      </w:pPr>
      <w:r>
        <w:rPr>
          <w:rFonts w:hint="eastAsia"/>
          <w:sz w:val="24"/>
        </w:rPr>
        <w:t>确认</w:t>
      </w:r>
      <w:r>
        <w:rPr>
          <w:rFonts w:hint="eastAsia"/>
          <w:sz w:val="24"/>
          <w:lang w:eastAsia="zh-CN"/>
        </w:rPr>
        <w:t>评审价格</w:t>
      </w:r>
    </w:p>
    <w:p>
      <w:pPr>
        <w:spacing w:line="400" w:lineRule="exact"/>
        <w:ind w:firstLine="480" w:firstLineChars="200"/>
        <w:rPr>
          <w:sz w:val="24"/>
        </w:rPr>
      </w:pPr>
      <w:r>
        <w:rPr>
          <w:rFonts w:hint="eastAsia"/>
          <w:sz w:val="24"/>
          <w:lang w:eastAsia="zh-CN"/>
        </w:rPr>
        <w:t>供应商选择工作小组</w:t>
      </w:r>
      <w:r>
        <w:rPr>
          <w:rFonts w:hint="eastAsia"/>
          <w:sz w:val="24"/>
        </w:rPr>
        <w:t>认定通过符合性评审的、经过价格调整的响应单位的最终价格为</w:t>
      </w:r>
      <w:r>
        <w:rPr>
          <w:rFonts w:hint="eastAsia"/>
          <w:sz w:val="24"/>
          <w:lang w:eastAsia="zh-CN"/>
        </w:rPr>
        <w:t>评审价格</w:t>
      </w:r>
      <w:r>
        <w:rPr>
          <w:rFonts w:hint="eastAsia"/>
          <w:sz w:val="24"/>
        </w:rPr>
        <w:t>，经过谈判后有提供最后报价的，以最后报价为</w:t>
      </w:r>
      <w:r>
        <w:rPr>
          <w:rFonts w:hint="eastAsia"/>
          <w:sz w:val="24"/>
          <w:lang w:eastAsia="zh-CN"/>
        </w:rPr>
        <w:t>评审价格</w:t>
      </w:r>
      <w:r>
        <w:rPr>
          <w:rFonts w:hint="eastAsia"/>
          <w:sz w:val="24"/>
        </w:rPr>
        <w:t>。</w:t>
      </w:r>
    </w:p>
    <w:p>
      <w:pPr>
        <w:numPr>
          <w:ilvl w:val="0"/>
          <w:numId w:val="8"/>
        </w:numPr>
        <w:spacing w:line="400" w:lineRule="exact"/>
        <w:ind w:firstLine="480" w:firstLineChars="200"/>
        <w:rPr>
          <w:sz w:val="24"/>
        </w:rPr>
      </w:pPr>
      <w:r>
        <w:rPr>
          <w:rFonts w:hint="eastAsia"/>
          <w:sz w:val="24"/>
        </w:rPr>
        <w:t>推荐成交候选人</w:t>
      </w:r>
    </w:p>
    <w:p>
      <w:pPr>
        <w:spacing w:line="400" w:lineRule="exact"/>
        <w:ind w:firstLine="480" w:firstLineChars="200"/>
        <w:rPr>
          <w:sz w:val="24"/>
        </w:rPr>
      </w:pPr>
      <w:r>
        <w:rPr>
          <w:rFonts w:hint="eastAsia"/>
          <w:sz w:val="24"/>
          <w:lang w:eastAsia="zh-CN"/>
        </w:rPr>
        <w:t>供应商选择工作小组</w:t>
      </w:r>
      <w:r>
        <w:rPr>
          <w:rFonts w:hint="eastAsia"/>
          <w:sz w:val="24"/>
        </w:rPr>
        <w:t>根据</w:t>
      </w:r>
      <w:r>
        <w:rPr>
          <w:rFonts w:hint="eastAsia"/>
          <w:sz w:val="24"/>
          <w:lang w:eastAsia="zh-CN"/>
        </w:rPr>
        <w:t>评审价格</w:t>
      </w:r>
      <w:r>
        <w:rPr>
          <w:rFonts w:hint="eastAsia"/>
          <w:sz w:val="24"/>
        </w:rPr>
        <w:t>，按价格由低到高推荐2-3名成交候选人，有以下特殊情况时，按照下述情况处理：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w:t>
      </w:r>
      <w:r>
        <w:rPr>
          <w:rFonts w:hint="eastAsia"/>
          <w:sz w:val="24"/>
          <w:lang w:eastAsia="zh-CN"/>
        </w:rPr>
        <w:t>评审价格</w:t>
      </w:r>
      <w:r>
        <w:rPr>
          <w:rFonts w:hint="eastAsia"/>
          <w:sz w:val="24"/>
        </w:rPr>
        <w:t>相同时，由</w:t>
      </w:r>
      <w:r>
        <w:rPr>
          <w:rFonts w:hint="eastAsia"/>
          <w:sz w:val="24"/>
          <w:lang w:eastAsia="zh-CN"/>
        </w:rPr>
        <w:t>供应商选择工作小组</w:t>
      </w:r>
      <w:r>
        <w:rPr>
          <w:rFonts w:hint="eastAsia"/>
          <w:sz w:val="24"/>
        </w:rPr>
        <w:t>通过讨论确定排序。</w:t>
      </w:r>
    </w:p>
    <w:p>
      <w:pPr>
        <w:numPr>
          <w:ilvl w:val="0"/>
          <w:numId w:val="10"/>
        </w:numPr>
        <w:spacing w:line="400" w:lineRule="exact"/>
        <w:ind w:firstLine="480" w:firstLineChars="200"/>
        <w:rPr>
          <w:sz w:val="24"/>
        </w:rPr>
      </w:pPr>
      <w:r>
        <w:rPr>
          <w:rFonts w:hint="eastAsia"/>
          <w:sz w:val="24"/>
        </w:rPr>
        <w:t>当最终评审时仅有1家响应单位时，如</w:t>
      </w:r>
      <w:r>
        <w:rPr>
          <w:rFonts w:hint="eastAsia"/>
          <w:sz w:val="24"/>
          <w:lang w:eastAsia="zh-CN"/>
        </w:rPr>
        <w:t>评审价格</w:t>
      </w:r>
      <w:r>
        <w:rPr>
          <w:rFonts w:hint="eastAsia"/>
          <w:sz w:val="24"/>
        </w:rPr>
        <w:t>为最低价或非最低价但技术能力较优，则可推荐为成交候选人。其余情况，</w:t>
      </w:r>
      <w:r>
        <w:rPr>
          <w:rFonts w:hint="eastAsia"/>
          <w:sz w:val="24"/>
          <w:lang w:eastAsia="zh-CN"/>
        </w:rPr>
        <w:t>供应商选择工作小组</w:t>
      </w:r>
      <w:r>
        <w:rPr>
          <w:rFonts w:hint="eastAsia"/>
          <w:sz w:val="24"/>
        </w:rPr>
        <w:t>应当认为本项目竞争性不足，不推荐成交候选人。</w:t>
      </w:r>
    </w:p>
    <w:p>
      <w:pPr>
        <w:numPr>
          <w:ilvl w:val="0"/>
          <w:numId w:val="10"/>
        </w:numPr>
        <w:spacing w:line="400" w:lineRule="exact"/>
        <w:ind w:firstLine="480" w:firstLineChars="200"/>
        <w:rPr>
          <w:sz w:val="24"/>
        </w:rPr>
      </w:pPr>
      <w:r>
        <w:rPr>
          <w:rFonts w:hint="eastAsia"/>
          <w:sz w:val="24"/>
        </w:rPr>
        <w:t>当</w:t>
      </w:r>
      <w:r>
        <w:rPr>
          <w:rFonts w:hint="eastAsia"/>
          <w:sz w:val="24"/>
          <w:lang w:eastAsia="zh-CN"/>
        </w:rPr>
        <w:t>供应商选择工作小组</w:t>
      </w:r>
      <w:r>
        <w:rPr>
          <w:rFonts w:hint="eastAsia"/>
          <w:sz w:val="24"/>
        </w:rPr>
        <w:t>认为所有</w:t>
      </w:r>
      <w:r>
        <w:rPr>
          <w:rFonts w:hint="eastAsia"/>
          <w:sz w:val="24"/>
          <w:lang w:eastAsia="zh-CN"/>
        </w:rPr>
        <w:t>评审价格</w:t>
      </w:r>
      <w:r>
        <w:rPr>
          <w:rFonts w:hint="eastAsia"/>
          <w:sz w:val="24"/>
        </w:rPr>
        <w:t>均较高时，可以不推荐成交候选人。</w:t>
      </w:r>
    </w:p>
    <w:p>
      <w:pPr>
        <w:numPr>
          <w:ilvl w:val="0"/>
          <w:numId w:val="10"/>
        </w:numPr>
        <w:spacing w:line="400" w:lineRule="exact"/>
        <w:ind w:firstLine="480" w:firstLineChars="200"/>
        <w:rPr>
          <w:sz w:val="24"/>
        </w:rPr>
      </w:pPr>
      <w:r>
        <w:rPr>
          <w:rFonts w:hint="eastAsia"/>
          <w:sz w:val="24"/>
        </w:rPr>
        <w:t>当最低</w:t>
      </w:r>
      <w:r>
        <w:rPr>
          <w:rFonts w:hint="eastAsia"/>
          <w:sz w:val="24"/>
          <w:lang w:eastAsia="zh-CN"/>
        </w:rPr>
        <w:t>评审价格</w:t>
      </w:r>
      <w:r>
        <w:rPr>
          <w:rFonts w:hint="eastAsia"/>
          <w:sz w:val="24"/>
        </w:rPr>
        <w:t>低于其他有效响应单位的</w:t>
      </w:r>
      <w:r>
        <w:rPr>
          <w:rFonts w:hint="eastAsia"/>
          <w:sz w:val="24"/>
          <w:lang w:eastAsia="zh-CN"/>
        </w:rPr>
        <w:t>评审价格</w:t>
      </w:r>
      <w:r>
        <w:rPr>
          <w:rFonts w:hint="eastAsia"/>
          <w:sz w:val="24"/>
        </w:rPr>
        <w:t>算术平均数的</w:t>
      </w:r>
      <w:r>
        <w:rPr>
          <w:rFonts w:hint="eastAsia"/>
          <w:sz w:val="24"/>
          <w:u w:val="single"/>
        </w:rPr>
        <w:t>50</w:t>
      </w:r>
      <w:r>
        <w:rPr>
          <w:rFonts w:hint="eastAsia"/>
          <w:sz w:val="24"/>
        </w:rPr>
        <w:t>%时，</w:t>
      </w:r>
      <w:r>
        <w:rPr>
          <w:rFonts w:hint="eastAsia"/>
          <w:sz w:val="24"/>
          <w:lang w:eastAsia="zh-CN"/>
        </w:rPr>
        <w:t>供应商选择工作小组</w:t>
      </w:r>
      <w:r>
        <w:rPr>
          <w:rFonts w:hint="eastAsia"/>
          <w:sz w:val="24"/>
        </w:rPr>
        <w:t>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lang w:eastAsia="zh-CN"/>
        </w:rPr>
        <w:t>供应商选择工作小组</w:t>
      </w:r>
      <w:r>
        <w:rPr>
          <w:rFonts w:hint="eastAsia"/>
          <w:sz w:val="24"/>
        </w:rPr>
        <w:t>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ascii="方正小标宋简体" w:hAnsi="方正小标宋简体" w:eastAsia="方正小标宋简体" w:cs="方正小标宋简体"/>
          <w:b/>
          <w:color w:val="000000"/>
          <w:sz w:val="36"/>
          <w:szCs w:val="36"/>
        </w:rPr>
      </w:pPr>
      <w:r>
        <w:rPr>
          <w:rFonts w:ascii="宋体" w:hAnsi="宋体"/>
          <w:kern w:val="44"/>
          <w:szCs w:val="21"/>
        </w:rPr>
        <w:br w:type="page"/>
      </w:r>
      <w:bookmarkStart w:id="17" w:name="_Toc742_WPSOffice_Level1"/>
      <w:r>
        <w:rPr>
          <w:rFonts w:hint="eastAsia" w:ascii="方正小标宋简体" w:hAnsi="方正小标宋简体" w:eastAsia="方正小标宋简体" w:cs="方正小标宋简体"/>
          <w:b/>
          <w:color w:val="000000"/>
          <w:sz w:val="36"/>
          <w:szCs w:val="36"/>
        </w:rPr>
        <w:t>第四章  商务要求</w:t>
      </w:r>
      <w:bookmarkEnd w:id="17"/>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u w:val="single"/>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序号</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内容</w:t>
            </w:r>
          </w:p>
        </w:tc>
        <w:tc>
          <w:tcPr>
            <w:tcW w:w="6604" w:type="dxa"/>
            <w:vAlign w:val="center"/>
          </w:tcPr>
          <w:p>
            <w:pPr>
              <w:autoSpaceDE w:val="0"/>
              <w:autoSpaceDN w:val="0"/>
              <w:spacing w:before="120" w:beforeLines="50" w:after="120" w:afterLines="50"/>
              <w:jc w:val="center"/>
              <w:rPr>
                <w:rFonts w:ascii="宋体" w:hAnsi="宋体"/>
                <w:kern w:val="0"/>
                <w:sz w:val="24"/>
                <w:highlight w:val="none"/>
              </w:rPr>
            </w:pPr>
            <w:r>
              <w:rPr>
                <w:rFonts w:hint="eastAsia" w:ascii="宋体" w:hAnsi="宋体"/>
                <w:kern w:val="0"/>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1</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default" w:ascii="Calibri" w:hAnsi="Calibri"/>
                <w:kern w:val="0"/>
                <w:sz w:val="24"/>
                <w:highlight w:val="none"/>
                <w:lang w:val="en-US"/>
              </w:rPr>
            </w:pPr>
            <w:r>
              <w:rPr>
                <w:rFonts w:hint="eastAsia" w:ascii="宋体" w:hAnsi="宋体"/>
                <w:kern w:val="0"/>
                <w:sz w:val="24"/>
                <w:highlight w:val="none"/>
              </w:rPr>
              <w:sym w:font="Wingdings" w:char="00FE"/>
            </w:r>
            <w:r>
              <w:rPr>
                <w:rFonts w:hint="eastAsia" w:ascii="宋体" w:hAnsi="宋体"/>
                <w:kern w:val="0"/>
                <w:sz w:val="24"/>
                <w:highlight w:val="none"/>
              </w:rPr>
              <w:t xml:space="preserve"> </w:t>
            </w:r>
            <w:r>
              <w:rPr>
                <w:rFonts w:hint="eastAsia" w:ascii="Calibri" w:hAnsi="Calibri"/>
                <w:kern w:val="0"/>
                <w:sz w:val="24"/>
                <w:highlight w:val="none"/>
              </w:rPr>
              <w:t>响应单位</w:t>
            </w:r>
            <w:r>
              <w:rPr>
                <w:rFonts w:ascii="Calibri" w:hAnsi="Calibri"/>
                <w:kern w:val="0"/>
                <w:sz w:val="24"/>
                <w:highlight w:val="none"/>
              </w:rPr>
              <w:t>应提供最新年检的企业法人营业执照、组织机构代码证、税务登记证及其他相应资质文件。（若三证合一，只需提供企业法人营业执照）</w:t>
            </w:r>
            <w:r>
              <w:rPr>
                <w:rFonts w:hint="eastAsia" w:ascii="Calibri" w:hAnsi="Calibri"/>
                <w:kern w:val="0"/>
                <w:sz w:val="24"/>
                <w:highlight w:val="none"/>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2</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响应单位</w:t>
            </w:r>
          </w:p>
          <w:p>
            <w:pPr>
              <w:autoSpaceDE w:val="0"/>
              <w:autoSpaceDN w:val="0"/>
              <w:jc w:val="center"/>
              <w:rPr>
                <w:rFonts w:ascii="宋体" w:hAnsi="宋体"/>
                <w:kern w:val="0"/>
                <w:sz w:val="24"/>
                <w:highlight w:val="none"/>
              </w:rPr>
            </w:pPr>
            <w:r>
              <w:rPr>
                <w:rFonts w:hint="eastAsia" w:ascii="宋体" w:hAnsi="宋体"/>
                <w:sz w:val="24"/>
                <w:highlight w:val="none"/>
              </w:rPr>
              <w:t>资质要求</w:t>
            </w:r>
          </w:p>
        </w:tc>
        <w:tc>
          <w:tcPr>
            <w:tcW w:w="6604" w:type="dxa"/>
            <w:vAlign w:val="center"/>
          </w:tcPr>
          <w:p>
            <w:pPr>
              <w:autoSpaceDE w:val="0"/>
              <w:autoSpaceDN w:val="0"/>
              <w:spacing w:before="120" w:beforeLines="50" w:after="120" w:afterLines="50"/>
              <w:ind w:left="400" w:leftChars="103" w:hanging="184" w:hangingChars="88"/>
              <w:jc w:val="left"/>
              <w:rPr>
                <w:rFonts w:hint="eastAsia"/>
                <w:highlight w:val="none"/>
                <w:lang w:eastAsia="zh-CN"/>
              </w:rPr>
            </w:pPr>
          </w:p>
          <w:p>
            <w:pPr>
              <w:autoSpaceDE w:val="0"/>
              <w:autoSpaceDN w:val="0"/>
              <w:spacing w:before="120" w:beforeLines="50" w:after="120" w:afterLines="50"/>
              <w:ind w:left="249" w:leftChars="104" w:hanging="31" w:hangingChars="13"/>
              <w:jc w:val="left"/>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eastAsia="zh-CN"/>
              </w:rPr>
              <w:t>☑</w:t>
            </w:r>
            <w:r>
              <w:rPr>
                <w:rFonts w:hint="eastAsia" w:ascii="宋体" w:hAnsi="宋体" w:eastAsia="宋体" w:cs="Times New Roman"/>
                <w:kern w:val="0"/>
                <w:sz w:val="24"/>
                <w:highlight w:val="none"/>
              </w:rPr>
              <w:t xml:space="preserve"> </w:t>
            </w:r>
            <w:r>
              <w:rPr>
                <w:rFonts w:hint="eastAsia" w:ascii="宋体" w:hAnsi="宋体" w:eastAsia="宋体" w:cs="Times New Roman"/>
                <w:kern w:val="0"/>
                <w:sz w:val="24"/>
                <w:highlight w:val="none"/>
                <w:lang w:val="en-US" w:eastAsia="zh-CN"/>
              </w:rPr>
              <w:t xml:space="preserve">电子与智能化工程专业承包二级及以上   </w:t>
            </w:r>
          </w:p>
          <w:p>
            <w:pPr>
              <w:pStyle w:val="10"/>
              <w:rPr>
                <w:highlight w:val="none"/>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3</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财务状况</w:t>
            </w:r>
          </w:p>
        </w:tc>
        <w:tc>
          <w:tcPr>
            <w:tcW w:w="6604" w:type="dxa"/>
            <w:vAlign w:val="center"/>
          </w:tcPr>
          <w:p>
            <w:pPr>
              <w:autoSpaceDE w:val="0"/>
              <w:autoSpaceDN w:val="0"/>
              <w:spacing w:before="120" w:beforeLines="50" w:after="120" w:afterLines="50"/>
              <w:ind w:left="249" w:leftChars="104" w:hanging="31" w:hangingChars="13"/>
              <w:jc w:val="left"/>
              <w:rPr>
                <w:rFonts w:ascii="宋体" w:hAnsi="宋体"/>
                <w:kern w:val="0"/>
                <w:sz w:val="24"/>
                <w:highlight w:val="none"/>
              </w:rPr>
            </w:pPr>
            <w:r>
              <w:rPr>
                <w:rFonts w:hint="eastAsia" w:ascii="宋体" w:hAnsi="宋体"/>
                <w:kern w:val="0"/>
                <w:sz w:val="24"/>
                <w:highlight w:val="none"/>
              </w:rPr>
              <w:sym w:font="Wingdings" w:char="00FE"/>
            </w:r>
            <w:r>
              <w:rPr>
                <w:rFonts w:hint="eastAsia" w:ascii="宋体" w:hAnsi="宋体"/>
                <w:kern w:val="0"/>
                <w:sz w:val="24"/>
                <w:highlight w:val="none"/>
              </w:rPr>
              <w:t>提供近</w:t>
            </w:r>
            <w:r>
              <w:rPr>
                <w:rFonts w:hint="eastAsia" w:ascii="宋体" w:hAnsi="宋体"/>
                <w:kern w:val="0"/>
                <w:sz w:val="24"/>
                <w:highlight w:val="none"/>
                <w:u w:val="single"/>
              </w:rPr>
              <w:t xml:space="preserve"> 3 </w:t>
            </w:r>
            <w:r>
              <w:rPr>
                <w:rFonts w:hint="eastAsia" w:ascii="宋体" w:hAnsi="宋体"/>
                <w:kern w:val="0"/>
                <w:sz w:val="24"/>
                <w:highlight w:val="none"/>
              </w:rPr>
              <w:t>年（</w:t>
            </w:r>
            <w:r>
              <w:rPr>
                <w:rFonts w:hint="eastAsia" w:ascii="宋体" w:hAnsi="宋体"/>
                <w:kern w:val="0"/>
                <w:sz w:val="24"/>
                <w:highlight w:val="none"/>
                <w:u w:val="single"/>
              </w:rPr>
              <w:t>2021</w:t>
            </w:r>
            <w:r>
              <w:rPr>
                <w:rFonts w:ascii="Calibri" w:hAnsi="Calibri"/>
                <w:kern w:val="0"/>
                <w:sz w:val="24"/>
                <w:highlight w:val="none"/>
              </w:rPr>
              <w:t>年~</w:t>
            </w:r>
            <w:r>
              <w:rPr>
                <w:rFonts w:hint="eastAsia" w:ascii="宋体" w:hAnsi="宋体"/>
                <w:kern w:val="0"/>
                <w:sz w:val="24"/>
                <w:highlight w:val="none"/>
                <w:u w:val="single"/>
              </w:rPr>
              <w:t xml:space="preserve"> 2023</w:t>
            </w:r>
            <w:r>
              <w:rPr>
                <w:rFonts w:ascii="Calibri" w:hAnsi="Calibri"/>
                <w:kern w:val="0"/>
                <w:sz w:val="24"/>
                <w:highlight w:val="none"/>
              </w:rPr>
              <w:t>年</w:t>
            </w:r>
            <w:r>
              <w:rPr>
                <w:rFonts w:hint="eastAsia" w:ascii="宋体" w:hAnsi="宋体"/>
                <w:kern w:val="0"/>
                <w:sz w:val="24"/>
                <w:highlight w:val="none"/>
              </w:rPr>
              <w:t>）的财务报表，包括资产负债表、利润表及现金流量表。（成立不满三年的，提供成立起至上一年度的财务报表）</w:t>
            </w:r>
          </w:p>
          <w:p>
            <w:pPr>
              <w:autoSpaceDE w:val="0"/>
              <w:autoSpaceDN w:val="0"/>
              <w:spacing w:before="120" w:beforeLines="50" w:after="120" w:afterLines="50"/>
              <w:jc w:val="left"/>
              <w:rPr>
                <w:rFonts w:ascii="宋体" w:hAnsi="宋体"/>
                <w:kern w:val="0"/>
                <w:sz w:val="24"/>
                <w:highlight w:val="none"/>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4</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业绩要求</w:t>
            </w:r>
          </w:p>
        </w:tc>
        <w:tc>
          <w:tcPr>
            <w:tcW w:w="6604" w:type="dxa"/>
            <w:vAlign w:val="center"/>
          </w:tcPr>
          <w:p>
            <w:pPr>
              <w:autoSpaceDE w:val="0"/>
              <w:autoSpaceDN w:val="0"/>
              <w:spacing w:before="120" w:beforeLines="50" w:after="120" w:afterLines="50"/>
              <w:ind w:left="222" w:leftChars="103" w:hanging="6"/>
              <w:jc w:val="left"/>
              <w:rPr>
                <w:rFonts w:ascii="Calibri" w:hAnsi="Calibri"/>
                <w:kern w:val="0"/>
                <w:sz w:val="24"/>
                <w:highlight w:val="none"/>
              </w:rPr>
            </w:pPr>
            <w:r>
              <w:rPr>
                <w:rFonts w:hint="eastAsia" w:ascii="宋体" w:hAnsi="宋体"/>
                <w:kern w:val="0"/>
                <w:sz w:val="24"/>
                <w:highlight w:val="none"/>
              </w:rPr>
              <w:t xml:space="preserve">☑ </w:t>
            </w:r>
            <w:r>
              <w:rPr>
                <w:rFonts w:hint="eastAsia" w:ascii="Calibri" w:hAnsi="Calibri"/>
                <w:kern w:val="0"/>
                <w:sz w:val="24"/>
                <w:highlight w:val="none"/>
              </w:rPr>
              <w:t>响应单位</w:t>
            </w:r>
            <w:r>
              <w:rPr>
                <w:rFonts w:ascii="Calibri" w:hAnsi="Calibri"/>
                <w:kern w:val="0"/>
                <w:sz w:val="24"/>
                <w:highlight w:val="none"/>
              </w:rPr>
              <w:t>（</w:t>
            </w:r>
            <w:r>
              <w:rPr>
                <w:rFonts w:hint="eastAsia" w:ascii="宋体" w:hAnsi="宋体"/>
                <w:kern w:val="0"/>
                <w:sz w:val="24"/>
                <w:highlight w:val="none"/>
                <w:u w:val="single"/>
              </w:rPr>
              <w:t>2021</w:t>
            </w:r>
            <w:r>
              <w:rPr>
                <w:rFonts w:ascii="Calibri" w:hAnsi="Calibri"/>
                <w:kern w:val="0"/>
                <w:sz w:val="24"/>
                <w:highlight w:val="none"/>
              </w:rPr>
              <w:t>年~</w:t>
            </w:r>
            <w:r>
              <w:rPr>
                <w:rFonts w:hint="eastAsia" w:ascii="宋体" w:hAnsi="宋体"/>
                <w:kern w:val="0"/>
                <w:sz w:val="24"/>
                <w:highlight w:val="none"/>
                <w:u w:val="single"/>
                <w:lang w:val="en-US" w:eastAsia="zh-CN"/>
              </w:rPr>
              <w:t>至今</w:t>
            </w:r>
            <w:r>
              <w:rPr>
                <w:rFonts w:ascii="Calibri" w:hAnsi="Calibri"/>
                <w:kern w:val="0"/>
                <w:sz w:val="24"/>
                <w:highlight w:val="none"/>
              </w:rPr>
              <w:t>）应有</w:t>
            </w:r>
            <w:r>
              <w:rPr>
                <w:rFonts w:hint="eastAsia" w:ascii="Calibri" w:hAnsi="Calibri"/>
                <w:kern w:val="0"/>
                <w:sz w:val="24"/>
                <w:highlight w:val="none"/>
                <w:lang w:val="en-US" w:eastAsia="zh-CN"/>
              </w:rPr>
              <w:t>签订</w:t>
            </w:r>
            <w:r>
              <w:rPr>
                <w:rFonts w:hint="eastAsia" w:ascii="Calibri" w:hAnsi="Calibri"/>
                <w:kern w:val="0"/>
                <w:sz w:val="24"/>
                <w:highlight w:val="none"/>
              </w:rPr>
              <w:t>不低于</w:t>
            </w:r>
            <w:r>
              <w:rPr>
                <w:rFonts w:hint="eastAsia" w:ascii="宋体" w:hAnsi="宋体"/>
                <w:kern w:val="0"/>
                <w:sz w:val="24"/>
                <w:highlight w:val="none"/>
                <w:u w:val="single"/>
              </w:rPr>
              <w:t xml:space="preserve"> 1 </w:t>
            </w:r>
            <w:r>
              <w:rPr>
                <w:rFonts w:hint="eastAsia" w:ascii="宋体" w:hAnsi="宋体"/>
                <w:kern w:val="0"/>
                <w:sz w:val="24"/>
                <w:highlight w:val="none"/>
              </w:rPr>
              <w:t>份与</w:t>
            </w:r>
            <w:r>
              <w:rPr>
                <w:rFonts w:ascii="Calibri" w:hAnsi="Calibri"/>
                <w:kern w:val="0"/>
                <w:sz w:val="24"/>
                <w:highlight w:val="none"/>
              </w:rPr>
              <w:t>本次</w:t>
            </w:r>
            <w:r>
              <w:rPr>
                <w:rFonts w:hint="eastAsia" w:ascii="Calibri" w:hAnsi="Calibri"/>
                <w:kern w:val="0"/>
                <w:sz w:val="24"/>
                <w:highlight w:val="none"/>
              </w:rPr>
              <w:t>工程</w:t>
            </w:r>
            <w:r>
              <w:rPr>
                <w:rFonts w:ascii="Calibri" w:hAnsi="Calibri"/>
                <w:kern w:val="0"/>
                <w:sz w:val="24"/>
                <w:highlight w:val="none"/>
              </w:rPr>
              <w:t>相同或类似的</w:t>
            </w:r>
            <w:r>
              <w:rPr>
                <w:rFonts w:hint="eastAsia" w:ascii="Calibri" w:hAnsi="Calibri"/>
                <w:kern w:val="0"/>
                <w:sz w:val="24"/>
                <w:highlight w:val="none"/>
              </w:rPr>
              <w:t>工程</w:t>
            </w:r>
            <w:r>
              <w:rPr>
                <w:rFonts w:ascii="Calibri" w:hAnsi="Calibri"/>
                <w:kern w:val="0"/>
                <w:sz w:val="24"/>
                <w:highlight w:val="none"/>
              </w:rPr>
              <w:t>业绩，提供合同复印件作为证明材料</w:t>
            </w:r>
            <w:r>
              <w:rPr>
                <w:rFonts w:hint="eastAsia" w:ascii="Calibri" w:hAnsi="Calibri"/>
                <w:kern w:val="0"/>
                <w:sz w:val="24"/>
                <w:highlight w:val="none"/>
              </w:rPr>
              <w:t>。</w:t>
            </w:r>
          </w:p>
          <w:p>
            <w:pPr>
              <w:autoSpaceDE w:val="0"/>
              <w:autoSpaceDN w:val="0"/>
              <w:spacing w:before="120" w:beforeLines="50" w:after="120" w:afterLines="50"/>
              <w:ind w:left="222" w:leftChars="103" w:hanging="6"/>
              <w:rPr>
                <w:rFonts w:ascii="宋体" w:hAnsi="宋体"/>
                <w:kern w:val="0"/>
                <w:sz w:val="24"/>
                <w:highlight w:val="none"/>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*5</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付款条款</w:t>
            </w:r>
          </w:p>
        </w:tc>
        <w:tc>
          <w:tcPr>
            <w:tcW w:w="6604" w:type="dxa"/>
            <w:vAlign w:val="center"/>
          </w:tcPr>
          <w:p>
            <w:pPr>
              <w:pStyle w:val="10"/>
              <w:numPr>
                <w:ilvl w:val="0"/>
                <w:numId w:val="12"/>
              </w:numPr>
              <w:spacing w:after="0" w:line="300" w:lineRule="auto"/>
              <w:ind w:left="825" w:hanging="405"/>
              <w:jc w:val="left"/>
              <w:rPr>
                <w:rFonts w:asciiTheme="minorEastAsia" w:hAnsiTheme="minorEastAsia" w:eastAsiaTheme="minorEastAsia" w:cstheme="minorEastAsia"/>
                <w:b/>
                <w:bCs/>
                <w:kern w:val="0"/>
                <w:sz w:val="24"/>
                <w:highlight w:val="none"/>
              </w:rPr>
            </w:pPr>
            <w:r>
              <w:rPr>
                <w:rFonts w:hint="eastAsia" w:ascii="宋体" w:hAnsi="宋体"/>
                <w:sz w:val="24"/>
                <w:highlight w:val="none"/>
              </w:rPr>
              <w:t>第一期付款：成交单位应于项目验收合格</w:t>
            </w:r>
            <w:r>
              <w:rPr>
                <w:rFonts w:hint="eastAsia" w:ascii="宋体" w:hAnsi="宋体"/>
                <w:sz w:val="24"/>
                <w:highlight w:val="none"/>
                <w:lang w:eastAsia="zh-CN"/>
              </w:rPr>
              <w:t>并经过结算审价后，根据结算审价金额</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日历</w:t>
            </w:r>
            <w:r>
              <w:rPr>
                <w:rFonts w:hint="eastAsia" w:ascii="宋体" w:hAnsi="宋体"/>
                <w:color w:val="000000" w:themeColor="text1"/>
                <w:sz w:val="24"/>
                <w:highlight w:val="none"/>
                <w14:textFill>
                  <w14:solidFill>
                    <w14:schemeClr w14:val="tx1"/>
                  </w14:solidFill>
                </w14:textFill>
              </w:rPr>
              <w:t>日内</w:t>
            </w:r>
            <w:r>
              <w:rPr>
                <w:rFonts w:hint="eastAsia" w:ascii="宋体" w:hAnsi="宋体"/>
                <w:color w:val="000000" w:themeColor="text1"/>
                <w:sz w:val="24"/>
                <w:highlight w:val="none"/>
                <w:lang w:eastAsia="zh-CN"/>
                <w14:textFill>
                  <w14:solidFill>
                    <w14:schemeClr w14:val="tx1"/>
                  </w14:solidFill>
                </w14:textFill>
              </w:rPr>
              <w:t>开具结算审价金额</w:t>
            </w:r>
            <w:r>
              <w:rPr>
                <w:rFonts w:hint="eastAsia" w:ascii="宋体" w:hAnsi="宋体"/>
                <w:color w:val="000000" w:themeColor="text1"/>
                <w:sz w:val="24"/>
                <w:highlight w:val="none"/>
                <w:lang w:val="en-US" w:eastAsia="zh-CN"/>
                <w14:textFill>
                  <w14:solidFill>
                    <w14:schemeClr w14:val="tx1"/>
                  </w14:solidFill>
                </w14:textFill>
              </w:rPr>
              <w:t>100%的</w:t>
            </w:r>
            <w:r>
              <w:rPr>
                <w:rFonts w:hint="eastAsia" w:ascii="宋体" w:hAnsi="宋体"/>
                <w:sz w:val="24"/>
                <w:highlight w:val="none"/>
                <w:lang w:eastAsia="zh-CN"/>
              </w:rPr>
              <w:t>合法有效的</w:t>
            </w:r>
            <w:r>
              <w:rPr>
                <w:rFonts w:hint="eastAsia" w:ascii="宋体" w:hAnsi="宋体"/>
                <w:sz w:val="24"/>
                <w:highlight w:val="none"/>
              </w:rPr>
              <w:t>增值税</w:t>
            </w:r>
            <w:r>
              <w:rPr>
                <w:rFonts w:hint="eastAsia" w:ascii="宋体" w:hAnsi="宋体"/>
                <w:sz w:val="24"/>
                <w:highlight w:val="none"/>
                <w:lang w:eastAsia="zh-CN"/>
              </w:rPr>
              <w:t>专用</w:t>
            </w:r>
            <w:r>
              <w:rPr>
                <w:rFonts w:hint="eastAsia" w:ascii="宋体" w:hAnsi="宋体"/>
                <w:sz w:val="24"/>
                <w:highlight w:val="none"/>
              </w:rPr>
              <w:t>发票，客服公司在收到发票之日起【30】</w:t>
            </w:r>
            <w:r>
              <w:rPr>
                <w:rFonts w:hint="eastAsia" w:ascii="宋体" w:hAnsi="宋体"/>
                <w:sz w:val="24"/>
                <w:highlight w:val="none"/>
                <w:lang w:eastAsia="zh-CN"/>
              </w:rPr>
              <w:t>工作日</w:t>
            </w:r>
            <w:r>
              <w:rPr>
                <w:rFonts w:hint="eastAsia" w:ascii="宋体" w:hAnsi="宋体"/>
                <w:sz w:val="24"/>
                <w:highlight w:val="none"/>
              </w:rPr>
              <w:t>日内</w:t>
            </w:r>
            <w:r>
              <w:rPr>
                <w:rFonts w:hint="eastAsia" w:asciiTheme="minorEastAsia" w:hAnsiTheme="minorEastAsia" w:eastAsiaTheme="minorEastAsia" w:cstheme="minorEastAsia"/>
                <w:sz w:val="24"/>
                <w:highlight w:val="none"/>
              </w:rPr>
              <w:t>支付合同项目</w:t>
            </w:r>
            <w:r>
              <w:rPr>
                <w:rFonts w:hint="eastAsia" w:asciiTheme="minorEastAsia" w:hAnsiTheme="minorEastAsia" w:eastAsiaTheme="minorEastAsia" w:cstheme="minorEastAsia"/>
                <w:kern w:val="0"/>
                <w:sz w:val="24"/>
                <w:highlight w:val="none"/>
              </w:rPr>
              <w:t>9</w:t>
            </w:r>
            <w:r>
              <w:rPr>
                <w:rFonts w:hint="eastAsia" w:asciiTheme="minorEastAsia" w:hAnsiTheme="minorEastAsia" w:eastAsiaTheme="minorEastAsia" w:cstheme="minorEastAsia"/>
                <w:kern w:val="0"/>
                <w:sz w:val="24"/>
                <w:highlight w:val="none"/>
                <w:lang w:val="en-US" w:eastAsia="zh-CN"/>
              </w:rPr>
              <w:t>7</w:t>
            </w:r>
            <w:r>
              <w:rPr>
                <w:rFonts w:hint="eastAsia" w:asciiTheme="minorEastAsia" w:hAnsiTheme="minorEastAsia" w:eastAsiaTheme="minorEastAsia" w:cstheme="minorEastAsia"/>
                <w:kern w:val="0"/>
                <w:sz w:val="24"/>
                <w:highlight w:val="none"/>
              </w:rPr>
              <w:t>%款项</w:t>
            </w:r>
            <w:r>
              <w:rPr>
                <w:rFonts w:hint="eastAsia" w:asciiTheme="minorEastAsia" w:hAnsiTheme="minorEastAsia" w:eastAsiaTheme="minorEastAsia" w:cstheme="minorEastAsia"/>
                <w:sz w:val="24"/>
                <w:highlight w:val="none"/>
              </w:rPr>
              <w:t>。</w:t>
            </w:r>
          </w:p>
          <w:p>
            <w:pPr>
              <w:pStyle w:val="10"/>
              <w:numPr>
                <w:ilvl w:val="0"/>
                <w:numId w:val="12"/>
              </w:numPr>
              <w:spacing w:after="0" w:line="300" w:lineRule="auto"/>
              <w:ind w:left="825" w:hanging="405"/>
              <w:jc w:val="left"/>
              <w:rPr>
                <w:rFonts w:ascii="宋体" w:hAnsi="宋体"/>
                <w:b/>
                <w:bCs/>
                <w:kern w:val="0"/>
                <w:sz w:val="24"/>
                <w:highlight w:val="none"/>
              </w:rPr>
            </w:pPr>
            <w:r>
              <w:rPr>
                <w:rFonts w:hint="eastAsia" w:ascii="宋体" w:hAnsi="宋体"/>
                <w:sz w:val="24"/>
                <w:highlight w:val="none"/>
              </w:rPr>
              <w:t>第二期付款：项目验收合格之日起质保期</w:t>
            </w:r>
            <w:r>
              <w:rPr>
                <w:rFonts w:hint="eastAsia" w:ascii="宋体" w:hAnsi="宋体"/>
                <w:sz w:val="24"/>
                <w:highlight w:val="none"/>
                <w:lang w:val="en-US" w:eastAsia="zh-CN"/>
              </w:rPr>
              <w:t>三</w:t>
            </w:r>
            <w:r>
              <w:rPr>
                <w:rFonts w:hint="eastAsia" w:ascii="宋体" w:hAnsi="宋体"/>
                <w:sz w:val="24"/>
                <w:highlight w:val="none"/>
              </w:rPr>
              <w:t>年，客服公司于项目质保期期间使用</w:t>
            </w:r>
            <w:r>
              <w:rPr>
                <w:rFonts w:hint="eastAsia" w:ascii="宋体" w:hAnsi="宋体"/>
                <w:kern w:val="0"/>
                <w:sz w:val="24"/>
                <w:highlight w:val="none"/>
              </w:rPr>
              <w:t>无质量问题，质保</w:t>
            </w:r>
            <w:r>
              <w:rPr>
                <w:rFonts w:hint="eastAsia" w:ascii="宋体" w:hAnsi="宋体"/>
                <w:sz w:val="24"/>
                <w:highlight w:val="none"/>
              </w:rPr>
              <w:t>期满之日起【30】</w:t>
            </w:r>
            <w:r>
              <w:rPr>
                <w:rFonts w:hint="eastAsia" w:ascii="宋体" w:hAnsi="宋体"/>
                <w:sz w:val="24"/>
                <w:highlight w:val="none"/>
                <w:lang w:eastAsia="zh-CN"/>
              </w:rPr>
              <w:t>个工作日</w:t>
            </w:r>
            <w:r>
              <w:rPr>
                <w:rFonts w:hint="eastAsia" w:ascii="宋体" w:hAnsi="宋体"/>
                <w:kern w:val="0"/>
                <w:sz w:val="24"/>
                <w:highlight w:val="none"/>
                <w:lang w:eastAsia="zh-CN"/>
              </w:rPr>
              <w:t>剩余</w:t>
            </w:r>
            <w:r>
              <w:rPr>
                <w:rFonts w:hint="eastAsia" w:ascii="宋体" w:hAnsi="宋体"/>
                <w:kern w:val="0"/>
                <w:sz w:val="24"/>
                <w:highlight w:val="none"/>
                <w:lang w:val="en-US" w:eastAsia="zh-CN"/>
              </w:rPr>
              <w:t>3%的</w:t>
            </w:r>
            <w:r>
              <w:rPr>
                <w:rFonts w:hint="eastAsia" w:ascii="宋体" w:hAnsi="宋体"/>
                <w:kern w:val="0"/>
                <w:sz w:val="24"/>
                <w:highlight w:val="none"/>
              </w:rPr>
              <w:t>款项</w:t>
            </w:r>
            <w:r>
              <w:rPr>
                <w:rFonts w:hint="eastAsia" w:ascii="宋体" w:hAnsi="宋体"/>
                <w:sz w:val="24"/>
                <w:highlight w:val="none"/>
              </w:rPr>
              <w:t>。</w:t>
            </w:r>
          </w:p>
          <w:p/>
          <w:p>
            <w:pPr>
              <w:spacing w:line="360" w:lineRule="auto"/>
              <w:ind w:firstLine="480" w:firstLineChars="200"/>
              <w:rPr>
                <w:rFonts w:ascii="宋体" w:hAnsi="宋体"/>
                <w:kern w:val="0"/>
                <w:sz w:val="24"/>
                <w:highlight w:val="none"/>
              </w:rPr>
            </w:pPr>
            <w:r>
              <w:rPr>
                <w:rFonts w:hint="eastAsia" w:ascii="宋体" w:hAnsi="宋体"/>
                <w:b w:val="0"/>
                <w:bCs w:val="0"/>
                <w:kern w:val="0"/>
                <w:sz w:val="24"/>
                <w:szCs w:val="24"/>
              </w:rPr>
              <w:t>双方</w:t>
            </w:r>
            <w:r>
              <w:rPr>
                <w:rFonts w:hint="eastAsia" w:ascii="宋体" w:hAnsi="宋体"/>
                <w:b w:val="0"/>
                <w:bCs w:val="0"/>
                <w:kern w:val="0"/>
                <w:sz w:val="24"/>
                <w:szCs w:val="24"/>
                <w:lang w:val="en-US" w:eastAsia="zh-CN"/>
              </w:rPr>
              <w:t>签约时约定：</w:t>
            </w:r>
            <w:r>
              <w:rPr>
                <w:rFonts w:hint="eastAsia" w:ascii="宋体" w:hAnsi="宋体"/>
                <w:b w:val="0"/>
                <w:bCs w:val="0"/>
                <w:kern w:val="0"/>
                <w:sz w:val="24"/>
                <w:szCs w:val="24"/>
              </w:rPr>
              <w:t>合同金额为***万元（大写：人民币***元整），其中不含税金额 ***万元，增值税税额**万元。开具增值税专用发票，税率</w:t>
            </w:r>
            <w:r>
              <w:rPr>
                <w:rFonts w:hint="eastAsia" w:ascii="宋体" w:hAnsi="宋体"/>
                <w:b w:val="0"/>
                <w:bCs w:val="0"/>
                <w:kern w:val="0"/>
                <w:sz w:val="24"/>
                <w:szCs w:val="24"/>
                <w:lang w:val="en-US" w:eastAsia="zh-CN"/>
              </w:rPr>
              <w:t>9</w:t>
            </w:r>
            <w:r>
              <w:rPr>
                <w:rFonts w:hint="eastAsia" w:ascii="宋体" w:hAnsi="宋体"/>
                <w:b w:val="0"/>
                <w:bCs w:val="0"/>
                <w:kern w:val="0"/>
                <w:sz w:val="24"/>
                <w:szCs w:val="24"/>
              </w:rPr>
              <w:t>%，双方认可合同税额以最终开具的增值税发票载明的金额为准</w:t>
            </w:r>
            <w:r>
              <w:rPr>
                <w:rFonts w:hint="eastAsia" w:ascii="宋体" w:hAnsi="宋体"/>
                <w:b w:val="0"/>
                <w:bCs w:val="0"/>
                <w:kern w:val="0"/>
                <w:sz w:val="24"/>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highlight w:val="none"/>
              </w:rPr>
            </w:pPr>
          </w:p>
        </w:tc>
        <w:tc>
          <w:tcPr>
            <w:tcW w:w="1695" w:type="dxa"/>
            <w:vAlign w:val="center"/>
          </w:tcPr>
          <w:p>
            <w:pPr>
              <w:autoSpaceDE w:val="0"/>
              <w:autoSpaceDN w:val="0"/>
              <w:jc w:val="center"/>
              <w:rPr>
                <w:rFonts w:ascii="宋体" w:hAnsi="宋体"/>
                <w:kern w:val="0"/>
                <w:sz w:val="24"/>
                <w:highlight w:val="none"/>
              </w:rPr>
            </w:pPr>
          </w:p>
        </w:tc>
        <w:tc>
          <w:tcPr>
            <w:tcW w:w="6604" w:type="dxa"/>
            <w:vAlign w:val="center"/>
          </w:tcPr>
          <w:p>
            <w:pPr>
              <w:spacing w:before="120" w:beforeLines="50" w:after="120" w:afterLines="50"/>
              <w:ind w:left="228" w:leftChars="103" w:hanging="12" w:hangingChars="5"/>
              <w:rPr>
                <w:rFonts w:ascii="宋体" w:hAnsi="宋体"/>
                <w:b/>
                <w:bCs/>
                <w:kern w:val="0"/>
                <w:sz w:val="24"/>
                <w:highlight w:val="none"/>
              </w:rPr>
            </w:pPr>
            <w:r>
              <w:rPr>
                <w:rFonts w:hint="eastAsia" w:ascii="宋体" w:hAnsi="宋体"/>
                <w:b/>
                <w:bCs/>
                <w:kern w:val="0"/>
                <w:sz w:val="24"/>
                <w:highlight w:val="none"/>
              </w:rPr>
              <w:t>上述合同付款条款，</w:t>
            </w:r>
            <w:r>
              <w:rPr>
                <w:rFonts w:hint="eastAsia" w:ascii="宋体" w:hAnsi="宋体"/>
                <w:b/>
                <w:bCs/>
                <w:sz w:val="24"/>
                <w:highlight w:val="none"/>
              </w:rPr>
              <w:t>根据客服公司选择，具体开票要求如下</w:t>
            </w:r>
            <w:r>
              <w:rPr>
                <w:rFonts w:hint="eastAsia" w:ascii="宋体" w:hAnsi="宋体"/>
                <w:b/>
                <w:bCs/>
                <w:kern w:val="0"/>
                <w:sz w:val="24"/>
                <w:highlight w:val="none"/>
              </w:rPr>
              <w:t>：</w:t>
            </w:r>
          </w:p>
          <w:p>
            <w:pPr>
              <w:spacing w:before="120" w:beforeLines="50" w:after="120" w:afterLines="50"/>
              <w:ind w:left="840"/>
              <w:rPr>
                <w:rFonts w:ascii="宋体" w:hAnsi="宋体"/>
                <w:kern w:val="0"/>
                <w:sz w:val="24"/>
                <w:highlight w:val="none"/>
              </w:rPr>
            </w:pPr>
            <w:r>
              <w:rPr>
                <w:rFonts w:hint="eastAsia" w:ascii="宋体" w:hAnsi="宋体"/>
                <w:b/>
                <w:bCs/>
                <w:sz w:val="24"/>
                <w:highlight w:val="none"/>
              </w:rPr>
              <w:sym w:font="Wingdings" w:char="00FE"/>
            </w:r>
            <w:r>
              <w:rPr>
                <w:rFonts w:hint="eastAsia" w:ascii="宋体" w:hAnsi="宋体"/>
                <w:kern w:val="0"/>
                <w:sz w:val="24"/>
                <w:highlight w:val="none"/>
              </w:rPr>
              <w:t>供应商按含税价开具真实合法有效的增值税专用发票；</w:t>
            </w:r>
          </w:p>
          <w:p>
            <w:pPr>
              <w:spacing w:before="120" w:beforeLines="50" w:after="120" w:afterLines="50"/>
              <w:ind w:left="840"/>
              <w:rPr>
                <w:rFonts w:ascii="宋体" w:hAnsi="宋体"/>
                <w:kern w:val="0"/>
                <w:sz w:val="24"/>
                <w:highlight w:val="none"/>
              </w:rPr>
            </w:pPr>
            <w:r>
              <w:rPr>
                <w:rFonts w:hint="eastAsia" w:ascii="宋体" w:hAnsi="宋体"/>
                <w:kern w:val="0"/>
                <w:sz w:val="24"/>
                <w:highlight w:val="none"/>
              </w:rPr>
              <w:t>□ 供应商按不含税价开具符合要求的形式发票或增值税普通发票；</w:t>
            </w:r>
          </w:p>
          <w:p>
            <w:pPr>
              <w:spacing w:before="120" w:beforeLines="50" w:after="120" w:afterLines="50"/>
              <w:ind w:left="228" w:leftChars="103" w:hanging="12" w:hangingChars="5"/>
              <w:rPr>
                <w:rFonts w:ascii="宋体" w:hAnsi="宋体"/>
                <w:b/>
                <w:bCs/>
                <w:kern w:val="0"/>
                <w:sz w:val="24"/>
                <w:highlight w:val="none"/>
              </w:rPr>
            </w:pPr>
            <w:r>
              <w:rPr>
                <w:rFonts w:hint="eastAsia" w:ascii="宋体" w:hAnsi="宋体"/>
                <w:kern w:val="0"/>
                <w:sz w:val="24"/>
                <w:highlight w:val="none"/>
              </w:rPr>
              <w:t>□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6</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报价</w:t>
            </w:r>
          </w:p>
        </w:tc>
        <w:tc>
          <w:tcPr>
            <w:tcW w:w="6604" w:type="dxa"/>
            <w:vAlign w:val="center"/>
          </w:tcPr>
          <w:p>
            <w:pPr>
              <w:numPr>
                <w:ilvl w:val="0"/>
                <w:numId w:val="13"/>
              </w:numPr>
              <w:autoSpaceDE w:val="0"/>
              <w:autoSpaceDN w:val="0"/>
              <w:spacing w:before="120" w:beforeLines="50" w:after="120" w:afterLines="50"/>
              <w:jc w:val="left"/>
              <w:rPr>
                <w:rFonts w:ascii="宋体" w:hAnsi="宋体"/>
                <w:kern w:val="0"/>
                <w:sz w:val="24"/>
                <w:highlight w:val="none"/>
              </w:rPr>
            </w:pPr>
            <w:r>
              <w:rPr>
                <w:rFonts w:ascii="Calibri" w:hAnsi="Calibri"/>
                <w:kern w:val="0"/>
                <w:sz w:val="24"/>
                <w:highlight w:val="none"/>
              </w:rPr>
              <w:t>本项目报价应包括以下内容：</w:t>
            </w:r>
          </w:p>
          <w:p>
            <w:pPr>
              <w:autoSpaceDE w:val="0"/>
              <w:autoSpaceDN w:val="0"/>
              <w:spacing w:before="120" w:beforeLines="50" w:after="120" w:afterLines="50"/>
              <w:ind w:firstLine="480" w:firstLineChars="200"/>
              <w:jc w:val="left"/>
              <w:rPr>
                <w:rFonts w:ascii="宋体" w:hAnsi="宋体"/>
                <w:kern w:val="0"/>
                <w:sz w:val="24"/>
                <w:highlight w:val="none"/>
              </w:rPr>
            </w:pPr>
            <w:r>
              <w:rPr>
                <w:rFonts w:hint="eastAsia" w:ascii="Calibri" w:hAnsi="Calibri"/>
                <w:kern w:val="0"/>
                <w:sz w:val="24"/>
                <w:highlight w:val="none"/>
              </w:rPr>
              <w:t>__</w:t>
            </w:r>
            <w:r>
              <w:rPr>
                <w:rFonts w:hint="eastAsia" w:ascii="Calibri" w:hAnsi="Calibri"/>
                <w:kern w:val="0"/>
                <w:sz w:val="24"/>
                <w:highlight w:val="none"/>
                <w:u w:val="single"/>
              </w:rPr>
              <w:t>完成本项目的所有所需费用</w:t>
            </w:r>
            <w:r>
              <w:rPr>
                <w:rFonts w:hint="eastAsia" w:ascii="Calibri" w:hAnsi="Calibri"/>
                <w:kern w:val="0"/>
                <w:sz w:val="24"/>
                <w:highlight w:val="none"/>
              </w:rPr>
              <w:t>___________________</w:t>
            </w:r>
          </w:p>
          <w:p>
            <w:pPr>
              <w:numPr>
                <w:ilvl w:val="0"/>
                <w:numId w:val="13"/>
              </w:numPr>
              <w:autoSpaceDE w:val="0"/>
              <w:autoSpaceDN w:val="0"/>
              <w:spacing w:before="120" w:beforeLines="50" w:after="120" w:afterLines="50"/>
              <w:jc w:val="left"/>
              <w:rPr>
                <w:rFonts w:ascii="宋体" w:hAnsi="宋体"/>
                <w:kern w:val="0"/>
                <w:sz w:val="24"/>
                <w:highlight w:val="none"/>
              </w:rPr>
            </w:pPr>
            <w:r>
              <w:rPr>
                <w:rFonts w:hint="eastAsia" w:ascii="宋体" w:hAnsi="宋体"/>
                <w:kern w:val="0"/>
                <w:sz w:val="24"/>
                <w:highlight w:val="none"/>
              </w:rPr>
              <w:t>响应单位须在分项报价表（见附件）中分别报出以上各部分价格。响应单位根据报价需要可对“分项报价表”进行扩展。</w:t>
            </w:r>
          </w:p>
          <w:p>
            <w:pPr>
              <w:numPr>
                <w:ilvl w:val="0"/>
                <w:numId w:val="13"/>
              </w:numPr>
              <w:autoSpaceDE w:val="0"/>
              <w:autoSpaceDN w:val="0"/>
              <w:spacing w:before="120" w:beforeLines="50" w:after="120" w:afterLines="50"/>
              <w:jc w:val="left"/>
              <w:rPr>
                <w:rFonts w:ascii="宋体" w:hAnsi="宋体"/>
                <w:kern w:val="0"/>
                <w:sz w:val="24"/>
                <w:highlight w:val="none"/>
              </w:rPr>
            </w:pPr>
            <w:r>
              <w:rPr>
                <w:rFonts w:ascii="Calibri" w:hAnsi="Calibri"/>
                <w:kern w:val="0"/>
                <w:sz w:val="24"/>
                <w:highlight w:val="none"/>
              </w:rPr>
              <w:t>报价应是本项目范围内全部工作内容的价格体现，应包含所涉及的一切相关费用，若有遗漏，</w:t>
            </w:r>
            <w:r>
              <w:rPr>
                <w:rFonts w:hint="eastAsia" w:ascii="Calibri" w:hAnsi="Calibri"/>
                <w:kern w:val="0"/>
                <w:sz w:val="24"/>
                <w:highlight w:val="none"/>
              </w:rPr>
              <w:t>客服</w:t>
            </w:r>
            <w:r>
              <w:rPr>
                <w:rFonts w:ascii="Calibri" w:hAnsi="Calibri"/>
                <w:kern w:val="0"/>
                <w:sz w:val="24"/>
                <w:highlight w:val="none"/>
              </w:rPr>
              <w:t>公司视作</w:t>
            </w:r>
            <w:r>
              <w:rPr>
                <w:rFonts w:hint="eastAsia" w:ascii="Calibri" w:hAnsi="Calibri"/>
                <w:kern w:val="0"/>
                <w:sz w:val="24"/>
                <w:highlight w:val="none"/>
              </w:rPr>
              <w:t>响应单位</w:t>
            </w:r>
            <w:r>
              <w:rPr>
                <w:rFonts w:ascii="Calibri" w:hAnsi="Calibri"/>
                <w:kern w:val="0"/>
                <w:sz w:val="24"/>
                <w:highlight w:val="none"/>
              </w:rPr>
              <w:t>已考虑让利，费用不予增加。</w:t>
            </w:r>
          </w:p>
          <w:p>
            <w:pPr>
              <w:numPr>
                <w:ilvl w:val="0"/>
                <w:numId w:val="13"/>
              </w:numPr>
              <w:autoSpaceDE w:val="0"/>
              <w:autoSpaceDN w:val="0"/>
              <w:spacing w:before="120" w:beforeLines="50" w:after="120" w:afterLines="50"/>
              <w:jc w:val="left"/>
              <w:rPr>
                <w:rFonts w:ascii="Calibri" w:hAnsi="Calibri"/>
                <w:kern w:val="0"/>
                <w:sz w:val="24"/>
                <w:highlight w:val="none"/>
              </w:rPr>
            </w:pPr>
            <w:r>
              <w:rPr>
                <w:rFonts w:hint="eastAsia" w:ascii="Calibri" w:hAnsi="Calibri"/>
                <w:kern w:val="0"/>
                <w:sz w:val="24"/>
                <w:highlight w:val="none"/>
              </w:rPr>
              <w:t>响应单位</w:t>
            </w:r>
            <w:r>
              <w:rPr>
                <w:rFonts w:ascii="Calibri" w:hAnsi="Calibri"/>
                <w:kern w:val="0"/>
                <w:sz w:val="24"/>
                <w:highlight w:val="none"/>
              </w:rPr>
              <w:t>提交的报价不应有选择性报价或具有附加条件的报价</w:t>
            </w:r>
            <w:r>
              <w:rPr>
                <w:rFonts w:hint="eastAsia" w:ascii="Calibri" w:hAnsi="Calibri"/>
                <w:kern w:val="0"/>
                <w:sz w:val="24"/>
                <w:highlight w:val="none"/>
              </w:rPr>
              <w:t>，</w:t>
            </w:r>
            <w:r>
              <w:rPr>
                <w:rFonts w:ascii="Calibri" w:hAnsi="Calibri"/>
                <w:kern w:val="0"/>
                <w:sz w:val="24"/>
                <w:highlight w:val="none"/>
              </w:rPr>
              <w:t>如出现以下情况（包括但不限于以下几种），则</w:t>
            </w:r>
            <w:r>
              <w:rPr>
                <w:rFonts w:hint="eastAsia" w:ascii="Calibri" w:hAnsi="Calibri"/>
                <w:kern w:val="0"/>
                <w:sz w:val="24"/>
                <w:highlight w:val="none"/>
              </w:rPr>
              <w:t>响应文件</w:t>
            </w:r>
            <w:r>
              <w:rPr>
                <w:rFonts w:ascii="Calibri" w:hAnsi="Calibri"/>
                <w:kern w:val="0"/>
                <w:sz w:val="24"/>
                <w:highlight w:val="none"/>
              </w:rPr>
              <w:t>将被否决：</w:t>
            </w:r>
          </w:p>
          <w:p>
            <w:pPr>
              <w:numPr>
                <w:ilvl w:val="0"/>
                <w:numId w:val="14"/>
              </w:numPr>
              <w:tabs>
                <w:tab w:val="left" w:pos="312"/>
              </w:tabs>
              <w:spacing w:before="120" w:beforeLines="50" w:after="120" w:afterLines="50"/>
              <w:ind w:left="420" w:leftChars="200"/>
              <w:rPr>
                <w:rFonts w:ascii="Calibri" w:hAnsi="Calibri"/>
                <w:kern w:val="0"/>
                <w:sz w:val="24"/>
                <w:highlight w:val="none"/>
              </w:rPr>
            </w:pPr>
            <w:r>
              <w:rPr>
                <w:rFonts w:ascii="Calibri" w:hAnsi="Calibri"/>
                <w:kern w:val="0"/>
                <w:sz w:val="24"/>
                <w:highlight w:val="none"/>
              </w:rPr>
              <w:t>我方（</w:t>
            </w:r>
            <w:r>
              <w:rPr>
                <w:rFonts w:hint="eastAsia" w:ascii="Calibri" w:hAnsi="Calibri"/>
                <w:kern w:val="0"/>
                <w:sz w:val="24"/>
                <w:highlight w:val="none"/>
              </w:rPr>
              <w:t>响应单位</w:t>
            </w:r>
            <w:r>
              <w:rPr>
                <w:rFonts w:ascii="Calibri" w:hAnsi="Calibri"/>
                <w:kern w:val="0"/>
                <w:sz w:val="24"/>
                <w:highlight w:val="none"/>
              </w:rPr>
              <w:t>）若中标，则将在报价基础上降价</w:t>
            </w:r>
          </w:p>
          <w:p>
            <w:pPr>
              <w:numPr>
                <w:ilvl w:val="0"/>
                <w:numId w:val="14"/>
              </w:numPr>
              <w:tabs>
                <w:tab w:val="left" w:pos="312"/>
              </w:tabs>
              <w:spacing w:before="120" w:beforeLines="50" w:after="120" w:afterLines="50"/>
              <w:ind w:left="420" w:leftChars="200"/>
              <w:rPr>
                <w:rFonts w:ascii="宋体" w:hAnsi="宋体"/>
                <w:kern w:val="0"/>
                <w:sz w:val="24"/>
                <w:highlight w:val="none"/>
              </w:rPr>
            </w:pPr>
            <w:r>
              <w:rPr>
                <w:rFonts w:ascii="Calibri" w:hAnsi="Calibri"/>
                <w:kern w:val="0"/>
                <w:sz w:val="24"/>
                <w:highlight w:val="none"/>
              </w:rPr>
              <w:t>我方（</w:t>
            </w:r>
            <w:r>
              <w:rPr>
                <w:rFonts w:hint="eastAsia" w:ascii="Calibri" w:hAnsi="Calibri"/>
                <w:kern w:val="0"/>
                <w:sz w:val="24"/>
                <w:highlight w:val="none"/>
              </w:rPr>
              <w:t>响应单位</w:t>
            </w:r>
            <w:r>
              <w:rPr>
                <w:rFonts w:ascii="Calibri" w:hAnsi="Calibri"/>
                <w:kern w:val="0"/>
                <w:sz w:val="24"/>
                <w:highlight w:val="none"/>
              </w:rPr>
              <w:t>）若中标某几个项目，则这几个项目将在报价基础上降价</w:t>
            </w:r>
          </w:p>
          <w:p>
            <w:pPr>
              <w:numPr>
                <w:ilvl w:val="0"/>
                <w:numId w:val="14"/>
              </w:numPr>
              <w:tabs>
                <w:tab w:val="left" w:pos="312"/>
              </w:tabs>
              <w:spacing w:before="120" w:beforeLines="50" w:after="120" w:afterLines="50"/>
              <w:ind w:left="420" w:leftChars="200"/>
              <w:rPr>
                <w:rFonts w:ascii="宋体" w:hAnsi="宋体"/>
                <w:kern w:val="0"/>
                <w:sz w:val="24"/>
                <w:highlight w:val="none"/>
              </w:rPr>
            </w:pPr>
            <w:r>
              <w:rPr>
                <w:rFonts w:ascii="Calibri" w:hAnsi="Calibri"/>
                <w:kern w:val="0"/>
                <w:sz w:val="24"/>
                <w:highlight w:val="none"/>
              </w:rPr>
              <w:t>我方（</w:t>
            </w:r>
            <w:r>
              <w:rPr>
                <w:rFonts w:hint="eastAsia" w:ascii="Calibri" w:hAnsi="Calibri"/>
                <w:kern w:val="0"/>
                <w:sz w:val="24"/>
                <w:highlight w:val="none"/>
              </w:rPr>
              <w:t>响应单位</w:t>
            </w:r>
            <w:r>
              <w:rPr>
                <w:rFonts w:ascii="Calibri" w:hAnsi="Calibri"/>
                <w:kern w:val="0"/>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7</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其他商务要求</w:t>
            </w:r>
          </w:p>
        </w:tc>
        <w:tc>
          <w:tcPr>
            <w:tcW w:w="6604" w:type="dxa"/>
            <w:vAlign w:val="center"/>
          </w:tcPr>
          <w:p>
            <w:pPr>
              <w:numPr>
                <w:ilvl w:val="0"/>
                <w:numId w:val="0"/>
              </w:numPr>
              <w:autoSpaceDE w:val="0"/>
              <w:autoSpaceDN w:val="0"/>
              <w:spacing w:before="120" w:beforeLines="50" w:after="120" w:afterLines="50" w:line="360" w:lineRule="auto"/>
              <w:jc w:val="left"/>
              <w:rPr>
                <w:highlight w:val="none"/>
              </w:rPr>
            </w:pPr>
            <w:r>
              <w:rPr>
                <w:rFonts w:hint="eastAsia" w:ascii="Calibri" w:hAnsi="Calibri"/>
                <w:sz w:val="24"/>
                <w:highlight w:val="none"/>
              </w:rPr>
              <w:t>在签署本项目合同及履行本项目义务时无任何法律障碍和重大事件影响供应商继续正常存续和全面履行本项目合同的能力，未被列入全国失信被执行人名单。</w:t>
            </w:r>
          </w:p>
        </w:tc>
      </w:tr>
    </w:tbl>
    <w:p/>
    <w:bookmarkEnd w:id="13"/>
    <w:p>
      <w:pPr>
        <w:jc w:val="center"/>
        <w:outlineLvl w:val="0"/>
        <w:rPr>
          <w:rFonts w:hint="eastAsia" w:ascii="方正小标宋简体" w:hAnsi="方正小标宋简体" w:eastAsia="方正小标宋简体" w:cs="方正小标宋简体"/>
          <w:b/>
          <w:color w:val="000000"/>
          <w:sz w:val="36"/>
          <w:szCs w:val="36"/>
        </w:rPr>
      </w:pPr>
      <w:bookmarkStart w:id="18" w:name="_Toc28157_WPSOffice_Level1"/>
      <w:r>
        <w:rPr>
          <w:rFonts w:hint="eastAsia" w:ascii="方正小标宋简体" w:hAnsi="方正小标宋简体" w:eastAsia="方正小标宋简体" w:cs="方正小标宋简体"/>
          <w:b/>
          <w:color w:val="000000"/>
          <w:sz w:val="36"/>
          <w:szCs w:val="36"/>
        </w:rPr>
        <w:br w:type="page"/>
      </w:r>
    </w:p>
    <w:p>
      <w:pPr>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第五章  服务要求</w:t>
      </w:r>
      <w:bookmarkEnd w:id="18"/>
    </w:p>
    <w:p>
      <w:pPr>
        <w:widowControl/>
        <w:ind w:firstLine="602" w:firstLineChars="200"/>
        <w:jc w:val="center"/>
        <w:rPr>
          <w:rFonts w:ascii="宋体" w:hAnsi="宋体"/>
          <w:b/>
          <w:bCs/>
          <w:kern w:val="44"/>
          <w:sz w:val="30"/>
          <w:szCs w:val="30"/>
        </w:rPr>
      </w:pPr>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本章序号标注“*”号的均为关键服务要求，对这些条款的不响应将导致响应文件被否决。响应单位应提供相应的服务方案描述或证明材料。</w:t>
      </w:r>
    </w:p>
    <w:p>
      <w:pPr>
        <w:rPr>
          <w:szCs w:val="21"/>
        </w:rPr>
      </w:pPr>
    </w:p>
    <w:p>
      <w:pPr>
        <w:pStyle w:val="59"/>
        <w:spacing w:line="360" w:lineRule="auto"/>
        <w:ind w:firstLine="480" w:firstLineChars="200"/>
      </w:pPr>
    </w:p>
    <w:p>
      <w:pPr>
        <w:pStyle w:val="59"/>
        <w:spacing w:line="360" w:lineRule="auto"/>
        <w:ind w:firstLine="480" w:firstLineChars="200"/>
      </w:pPr>
      <w:r>
        <w:rPr>
          <w:rFonts w:hint="eastAsia"/>
        </w:rPr>
        <w:t>1、项目概况</w:t>
      </w:r>
    </w:p>
    <w:p>
      <w:pPr>
        <w:autoSpaceDN w:val="0"/>
        <w:spacing w:line="360" w:lineRule="auto"/>
        <w:ind w:firstLine="480" w:firstLineChars="200"/>
        <w:jc w:val="left"/>
        <w:textAlignment w:val="center"/>
        <w:rPr>
          <w:rFonts w:asciiTheme="minorEastAsia" w:hAnsiTheme="minorEastAsia" w:eastAsiaTheme="minorEastAsia" w:cstheme="minorEastAsia"/>
          <w:sz w:val="24"/>
        </w:rPr>
      </w:pPr>
      <w:r>
        <w:rPr>
          <w:rFonts w:hint="eastAsia" w:ascii="宋体" w:hAnsi="宋体"/>
          <w:kern w:val="0"/>
          <w:sz w:val="24"/>
        </w:rPr>
        <w:t>本项目位于上海市闵行区江川东路100号园区内，根据</w:t>
      </w:r>
      <w:r>
        <w:rPr>
          <w:rFonts w:hint="eastAsia" w:asciiTheme="minorEastAsia" w:hAnsiTheme="minorEastAsia" w:eastAsiaTheme="minorEastAsia" w:cstheme="minorEastAsia"/>
          <w:color w:val="000000"/>
          <w:sz w:val="24"/>
          <w:shd w:val="clear" w:color="auto" w:fill="FFFFFF"/>
        </w:rPr>
        <w:t>上海市公安局技术防范办公室</w:t>
      </w:r>
      <w:r>
        <w:rPr>
          <w:rFonts w:hint="eastAsia" w:asciiTheme="minorEastAsia" w:hAnsiTheme="minorEastAsia" w:eastAsiaTheme="minorEastAsia" w:cstheme="minorEastAsia"/>
          <w:color w:val="000000"/>
          <w:kern w:val="0"/>
          <w:sz w:val="24"/>
        </w:rPr>
        <w:t>相关规定要求</w:t>
      </w:r>
      <w:r>
        <w:rPr>
          <w:rFonts w:hint="eastAsia" w:ascii="宋体" w:hAnsi="宋体"/>
          <w:kern w:val="0"/>
          <w:sz w:val="24"/>
        </w:rPr>
        <w:t>，结合上海飞机客户服务有限公司视频监控系统现状，对现有设施进行升级改造，将园区一期、二期、三期视频监控系统进行统一管理，满足技防和园区视频监控系统功能要求（详见附件：技术文件）。</w:t>
      </w:r>
    </w:p>
    <w:p>
      <w:pPr>
        <w:spacing w:line="360" w:lineRule="auto"/>
        <w:ind w:firstLine="420" w:firstLineChars="175"/>
        <w:outlineLvl w:val="1"/>
        <w:rPr>
          <w:sz w:val="24"/>
        </w:rPr>
      </w:pPr>
      <w:bookmarkStart w:id="19" w:name="_Toc310164641"/>
      <w:bookmarkStart w:id="20" w:name="_Toc310259411"/>
      <w:bookmarkStart w:id="21" w:name="_Toc10626"/>
    </w:p>
    <w:p>
      <w:pPr>
        <w:spacing w:line="360" w:lineRule="auto"/>
        <w:ind w:firstLine="420" w:firstLineChars="175"/>
        <w:outlineLvl w:val="1"/>
        <w:rPr>
          <w:sz w:val="24"/>
        </w:rPr>
      </w:pPr>
      <w:r>
        <w:rPr>
          <w:rFonts w:hint="eastAsia"/>
          <w:sz w:val="24"/>
        </w:rPr>
        <w:t>2、</w:t>
      </w:r>
      <w:bookmarkEnd w:id="19"/>
      <w:bookmarkEnd w:id="20"/>
      <w:bookmarkEnd w:id="21"/>
      <w:r>
        <w:rPr>
          <w:rFonts w:hint="eastAsia"/>
          <w:sz w:val="24"/>
        </w:rPr>
        <w:t>工期要求</w:t>
      </w:r>
    </w:p>
    <w:p>
      <w:pPr>
        <w:spacing w:line="360" w:lineRule="auto"/>
        <w:ind w:firstLine="720" w:firstLineChars="300"/>
        <w:rPr>
          <w:sz w:val="24"/>
        </w:rPr>
      </w:pPr>
      <w:r>
        <w:rPr>
          <w:rFonts w:hint="eastAsia"/>
          <w:sz w:val="24"/>
        </w:rPr>
        <w:t>本工程总工期为45日历天（含验收），具体开工日期以采购方通知为准。</w:t>
      </w:r>
    </w:p>
    <w:p>
      <w:pPr>
        <w:pStyle w:val="10"/>
      </w:pPr>
    </w:p>
    <w:p>
      <w:pPr>
        <w:spacing w:line="480" w:lineRule="auto"/>
        <w:ind w:firstLine="420" w:firstLineChars="175"/>
        <w:outlineLvl w:val="2"/>
        <w:rPr>
          <w:sz w:val="24"/>
        </w:rPr>
      </w:pPr>
      <w:bookmarkStart w:id="22" w:name="_Toc310164643"/>
      <w:bookmarkStart w:id="23" w:name="_Toc310259413"/>
      <w:bookmarkStart w:id="24" w:name="_Toc14255"/>
      <w:r>
        <w:rPr>
          <w:rFonts w:hint="eastAsia"/>
          <w:sz w:val="24"/>
        </w:rPr>
        <w:t>3、服务质量目标</w:t>
      </w:r>
      <w:bookmarkEnd w:id="22"/>
      <w:bookmarkEnd w:id="23"/>
      <w:bookmarkEnd w:id="24"/>
    </w:p>
    <w:p>
      <w:pPr>
        <w:spacing w:line="480" w:lineRule="auto"/>
        <w:ind w:firstLine="720" w:firstLineChars="300"/>
        <w:rPr>
          <w:sz w:val="24"/>
        </w:rPr>
      </w:pPr>
      <w:r>
        <w:rPr>
          <w:rFonts w:hint="eastAsia"/>
          <w:sz w:val="24"/>
        </w:rPr>
        <w:t>本工程质量目标为一次验收合格率100%。</w:t>
      </w:r>
    </w:p>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ascii="宋体" w:hAnsi="宋体"/>
          <w:szCs w:val="21"/>
        </w:rPr>
      </w:pPr>
    </w:p>
    <w:bookmarkEnd w:id="14"/>
    <w:p>
      <w:pPr>
        <w:tabs>
          <w:tab w:val="left" w:pos="420"/>
          <w:tab w:val="left" w:pos="7560"/>
          <w:tab w:val="left" w:pos="7740"/>
          <w:tab w:val="left" w:pos="7920"/>
        </w:tabs>
        <w:snapToGrid w:val="0"/>
        <w:spacing w:before="120" w:beforeLines="50" w:line="360" w:lineRule="auto"/>
        <w:rPr>
          <w:rFonts w:eastAsia="方正小标宋简体"/>
        </w:rPr>
      </w:pPr>
      <w:bookmarkStart w:id="25" w:name="_Toc7733_WPSOffice_Level1"/>
      <w:r>
        <w:rPr>
          <w:rFonts w:hint="eastAsia" w:ascii="宋体" w:hAnsi="宋体"/>
          <w:szCs w:val="21"/>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br w:type="page"/>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第六章附件</w:t>
      </w:r>
      <w:bookmarkEnd w:id="25"/>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b/>
          <w:bCs/>
          <w:u w:val="single"/>
          <w:lang w:eastAsia="zh-CN"/>
        </w:rPr>
        <w:t>客服中心监控系统升级改造</w:t>
      </w:r>
      <w:r>
        <w:rPr>
          <w:rFonts w:hint="eastAsia" w:ascii="宋体" w:hAnsi="宋体"/>
          <w:b/>
          <w:bCs/>
          <w:u w:val="single"/>
        </w:rPr>
        <w:t xml:space="preserve">项目       </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u w:val="single"/>
        </w:rPr>
        <w:t xml:space="preserve">      </w:t>
      </w:r>
      <w:r>
        <w:rPr>
          <w:rFonts w:hint="eastAsia" w:ascii="宋体" w:hAnsi="宋体"/>
        </w:rPr>
        <w:t>（币种）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pPr>
      <w:r>
        <w:rPr>
          <w:rFonts w:ascii="宋体" w:hAnsi="宋体"/>
        </w:rPr>
        <w:t xml:space="preserve">                                                          年    月    日</w:t>
      </w:r>
    </w:p>
    <w:p>
      <w:pPr>
        <w:adjustRightInd w:val="0"/>
        <w:snapToGrid w:val="0"/>
        <w:spacing w:line="360" w:lineRule="auto"/>
        <w:jc w:val="right"/>
        <w:rPr>
          <w:rFonts w:ascii="宋体" w:hAnsi="宋体"/>
        </w:rPr>
      </w:pPr>
      <w:r>
        <w:rPr>
          <w:rFonts w:hint="eastAsia" w:ascii="宋体" w:hAnsi="宋体"/>
        </w:rPr>
        <w:br w:type="page"/>
      </w:r>
    </w:p>
    <w:p>
      <w:pPr>
        <w:numPr>
          <w:ilvl w:val="0"/>
          <w:numId w:val="15"/>
        </w:num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分项报价表</w:t>
      </w:r>
    </w:p>
    <w:p>
      <w:pPr>
        <w:numPr>
          <w:ilvl w:val="255"/>
          <w:numId w:val="0"/>
        </w:numPr>
        <w:adjustRightInd w:val="0"/>
        <w:snapToGrid w:val="0"/>
        <w:spacing w:line="360" w:lineRule="auto"/>
        <w:jc w:val="center"/>
        <w:outlineLvl w:val="1"/>
        <w:rPr>
          <w:b/>
          <w:bCs/>
          <w:sz w:val="28"/>
          <w:szCs w:val="21"/>
        </w:rPr>
      </w:pPr>
      <w:r>
        <w:rPr>
          <w:rFonts w:hint="eastAsia"/>
          <w:b/>
          <w:bCs/>
          <w:sz w:val="28"/>
          <w:szCs w:val="21"/>
        </w:rPr>
        <w:t>报价单</w:t>
      </w:r>
    </w:p>
    <w:p>
      <w:pPr>
        <w:pStyle w:val="80"/>
        <w:numPr>
          <w:ilvl w:val="0"/>
          <w:numId w:val="16"/>
        </w:numPr>
        <w:adjustRightInd w:val="0"/>
        <w:snapToGrid w:val="0"/>
        <w:spacing w:line="360" w:lineRule="auto"/>
        <w:ind w:firstLineChars="0"/>
        <w:outlineLvl w:val="1"/>
        <w:rPr>
          <w:rFonts w:ascii="微软雅黑" w:hAnsi="微软雅黑" w:eastAsia="微软雅黑" w:cs="微软雅黑"/>
          <w:b/>
          <w:color w:val="000000"/>
          <w:kern w:val="0"/>
          <w:sz w:val="22"/>
          <w:lang w:bidi="ar"/>
        </w:rPr>
      </w:pPr>
      <w:r>
        <w:rPr>
          <w:rFonts w:hint="eastAsia" w:ascii="微软雅黑" w:hAnsi="微软雅黑" w:eastAsia="微软雅黑" w:cs="微软雅黑"/>
          <w:b/>
          <w:color w:val="000000"/>
          <w:kern w:val="0"/>
          <w:sz w:val="22"/>
          <w:lang w:bidi="ar"/>
        </w:rPr>
        <w:t>设备清单</w:t>
      </w:r>
    </w:p>
    <w:tbl>
      <w:tblPr>
        <w:tblStyle w:val="33"/>
        <w:tblW w:w="9180" w:type="dxa"/>
        <w:tblInd w:w="93" w:type="dxa"/>
        <w:tblLayout w:type="fixed"/>
        <w:tblCellMar>
          <w:top w:w="0" w:type="dxa"/>
          <w:left w:w="108" w:type="dxa"/>
          <w:bottom w:w="0" w:type="dxa"/>
          <w:right w:w="108" w:type="dxa"/>
        </w:tblCellMar>
      </w:tblPr>
      <w:tblGrid>
        <w:gridCol w:w="660"/>
        <w:gridCol w:w="4652"/>
        <w:gridCol w:w="800"/>
        <w:gridCol w:w="916"/>
        <w:gridCol w:w="1068"/>
        <w:gridCol w:w="1084"/>
      </w:tblGrid>
      <w:tr>
        <w:tblPrEx>
          <w:tblLayout w:type="fixed"/>
          <w:tblCellMar>
            <w:top w:w="0" w:type="dxa"/>
            <w:left w:w="108" w:type="dxa"/>
            <w:bottom w:w="0" w:type="dxa"/>
            <w:right w:w="108" w:type="dxa"/>
          </w:tblCellMar>
        </w:tblPrEx>
        <w:trPr>
          <w:trHeight w:val="465"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2"/>
                <w:szCs w:val="22"/>
              </w:rPr>
            </w:pPr>
            <w:r>
              <w:rPr>
                <w:rFonts w:hint="eastAsia" w:ascii="微软雅黑" w:hAnsi="微软雅黑" w:eastAsia="微软雅黑" w:cs="宋体"/>
                <w:b/>
                <w:bCs/>
                <w:kern w:val="0"/>
                <w:sz w:val="22"/>
                <w:szCs w:val="22"/>
              </w:rPr>
              <w:t>序号</w:t>
            </w:r>
          </w:p>
        </w:tc>
        <w:tc>
          <w:tcPr>
            <w:tcW w:w="46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2"/>
                <w:szCs w:val="22"/>
              </w:rPr>
            </w:pPr>
            <w:r>
              <w:rPr>
                <w:rFonts w:hint="eastAsia" w:ascii="微软雅黑" w:hAnsi="微软雅黑" w:eastAsia="微软雅黑" w:cs="宋体"/>
                <w:b/>
                <w:bCs/>
                <w:kern w:val="0"/>
                <w:sz w:val="22"/>
                <w:szCs w:val="22"/>
              </w:rPr>
              <w:t>产品类别</w:t>
            </w:r>
          </w:p>
        </w:tc>
        <w:tc>
          <w:tcPr>
            <w:tcW w:w="8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2"/>
                <w:szCs w:val="22"/>
              </w:rPr>
            </w:pPr>
            <w:r>
              <w:rPr>
                <w:rFonts w:hint="eastAsia" w:ascii="微软雅黑" w:hAnsi="微软雅黑" w:eastAsia="微软雅黑" w:cs="宋体"/>
                <w:b/>
                <w:bCs/>
                <w:kern w:val="0"/>
                <w:sz w:val="22"/>
                <w:szCs w:val="22"/>
              </w:rPr>
              <w:t>单位</w:t>
            </w:r>
          </w:p>
        </w:tc>
        <w:tc>
          <w:tcPr>
            <w:tcW w:w="9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kern w:val="0"/>
                <w:sz w:val="22"/>
                <w:szCs w:val="22"/>
              </w:rPr>
            </w:pPr>
            <w:r>
              <w:rPr>
                <w:rFonts w:hint="eastAsia" w:ascii="微软雅黑" w:hAnsi="微软雅黑" w:eastAsia="微软雅黑" w:cs="宋体"/>
                <w:b/>
                <w:bCs/>
                <w:kern w:val="0"/>
                <w:sz w:val="22"/>
                <w:szCs w:val="22"/>
              </w:rPr>
              <w:t>数量</w:t>
            </w:r>
          </w:p>
        </w:tc>
        <w:tc>
          <w:tcPr>
            <w:tcW w:w="10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b/>
                <w:bCs/>
                <w:kern w:val="0"/>
                <w:sz w:val="22"/>
                <w:szCs w:val="22"/>
              </w:rPr>
            </w:pPr>
            <w:r>
              <w:rPr>
                <w:rFonts w:hint="eastAsia" w:ascii="微软雅黑" w:hAnsi="微软雅黑" w:eastAsia="微软雅黑" w:cs="宋体"/>
                <w:b/>
                <w:bCs/>
                <w:kern w:val="0"/>
                <w:sz w:val="22"/>
                <w:szCs w:val="22"/>
              </w:rPr>
              <w:t>单价</w:t>
            </w:r>
          </w:p>
          <w:p>
            <w:pPr>
              <w:widowControl/>
              <w:jc w:val="center"/>
              <w:rPr>
                <w:rFonts w:ascii="微软雅黑" w:hAnsi="微软雅黑" w:eastAsia="微软雅黑" w:cs="宋体"/>
                <w:b/>
                <w:bCs/>
                <w:kern w:val="0"/>
                <w:sz w:val="22"/>
                <w:szCs w:val="22"/>
              </w:rPr>
            </w:pPr>
            <w:r>
              <w:rPr>
                <w:rFonts w:hint="eastAsia" w:ascii="微软雅黑" w:hAnsi="微软雅黑" w:eastAsia="微软雅黑" w:cs="宋体"/>
                <w:b/>
                <w:bCs/>
                <w:kern w:val="0"/>
                <w:sz w:val="22"/>
                <w:szCs w:val="22"/>
              </w:rPr>
              <w:t>(</w:t>
            </w:r>
            <w:r>
              <w:rPr>
                <w:rFonts w:hint="eastAsia" w:ascii="微软雅黑" w:hAnsi="微软雅黑" w:eastAsia="微软雅黑" w:cs="宋体"/>
                <w:b/>
                <w:bCs/>
                <w:kern w:val="0"/>
                <w:sz w:val="22"/>
                <w:szCs w:val="22"/>
                <w:lang w:val="en-US" w:eastAsia="zh-CN"/>
              </w:rPr>
              <w:t>含税</w:t>
            </w:r>
            <w:r>
              <w:rPr>
                <w:rFonts w:hint="eastAsia" w:ascii="微软雅黑" w:hAnsi="微软雅黑" w:eastAsia="微软雅黑" w:cs="宋体"/>
                <w:b/>
                <w:bCs/>
                <w:kern w:val="0"/>
                <w:sz w:val="22"/>
                <w:szCs w:val="22"/>
              </w:rPr>
              <w:t>元)</w:t>
            </w:r>
          </w:p>
        </w:tc>
        <w:tc>
          <w:tcPr>
            <w:tcW w:w="108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微软雅黑" w:hAnsi="微软雅黑" w:eastAsia="微软雅黑" w:cs="宋体"/>
                <w:b/>
                <w:bCs/>
                <w:kern w:val="0"/>
                <w:sz w:val="22"/>
                <w:szCs w:val="22"/>
              </w:rPr>
            </w:pPr>
            <w:r>
              <w:rPr>
                <w:rFonts w:hint="eastAsia" w:ascii="微软雅黑" w:hAnsi="微软雅黑" w:eastAsia="微软雅黑" w:cs="宋体"/>
                <w:b/>
                <w:bCs/>
                <w:kern w:val="0"/>
                <w:sz w:val="22"/>
                <w:szCs w:val="22"/>
              </w:rPr>
              <w:t>合价</w:t>
            </w:r>
          </w:p>
          <w:p>
            <w:pPr>
              <w:widowControl/>
              <w:jc w:val="center"/>
              <w:rPr>
                <w:rFonts w:ascii="微软雅黑" w:hAnsi="微软雅黑" w:eastAsia="微软雅黑" w:cs="宋体"/>
                <w:b/>
                <w:bCs/>
                <w:kern w:val="0"/>
                <w:sz w:val="22"/>
                <w:szCs w:val="22"/>
              </w:rPr>
            </w:pPr>
            <w:r>
              <w:rPr>
                <w:rFonts w:hint="eastAsia" w:ascii="微软雅黑" w:hAnsi="微软雅黑" w:eastAsia="微软雅黑" w:cs="宋体"/>
                <w:b/>
                <w:bCs/>
                <w:kern w:val="0"/>
                <w:sz w:val="22"/>
                <w:szCs w:val="22"/>
              </w:rPr>
              <w:t>(</w:t>
            </w:r>
            <w:r>
              <w:rPr>
                <w:rFonts w:hint="eastAsia" w:ascii="微软雅黑" w:hAnsi="微软雅黑" w:eastAsia="微软雅黑" w:cs="宋体"/>
                <w:b/>
                <w:bCs/>
                <w:kern w:val="0"/>
                <w:sz w:val="22"/>
                <w:szCs w:val="22"/>
                <w:lang w:val="en-US" w:eastAsia="zh-CN"/>
              </w:rPr>
              <w:t>含税</w:t>
            </w:r>
            <w:r>
              <w:rPr>
                <w:rFonts w:hint="eastAsia" w:ascii="微软雅黑" w:hAnsi="微软雅黑" w:eastAsia="微软雅黑" w:cs="宋体"/>
                <w:b/>
                <w:bCs/>
                <w:kern w:val="0"/>
                <w:sz w:val="22"/>
                <w:szCs w:val="22"/>
              </w:rPr>
              <w:t>元)</w:t>
            </w:r>
          </w:p>
        </w:tc>
      </w:tr>
      <w:tr>
        <w:tblPrEx>
          <w:tblLayout w:type="fixed"/>
          <w:tblCellMar>
            <w:top w:w="0" w:type="dxa"/>
            <w:left w:w="108" w:type="dxa"/>
            <w:bottom w:w="0" w:type="dxa"/>
            <w:right w:w="108" w:type="dxa"/>
          </w:tblCellMar>
        </w:tblPrEx>
        <w:trPr>
          <w:trHeight w:val="465" w:hRule="atLeast"/>
        </w:trPr>
        <w:tc>
          <w:tcPr>
            <w:tcW w:w="9180"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b/>
                <w:bCs/>
                <w:kern w:val="0"/>
                <w:sz w:val="22"/>
                <w:szCs w:val="22"/>
              </w:rPr>
            </w:pPr>
            <w:r>
              <w:rPr>
                <w:rFonts w:hint="eastAsia" w:ascii="微软雅黑" w:hAnsi="微软雅黑" w:eastAsia="微软雅黑" w:cs="宋体"/>
                <w:b/>
                <w:bCs/>
                <w:kern w:val="0"/>
                <w:sz w:val="22"/>
                <w:szCs w:val="22"/>
              </w:rPr>
              <w:t>一、设备　</w:t>
            </w: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1</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sz w:val="22"/>
                <w:szCs w:val="22"/>
                <w:highlight w:val="none"/>
              </w:rPr>
              <w:t>管理平台-服务器</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台</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1</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　</w:t>
            </w: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2</w:t>
            </w:r>
          </w:p>
        </w:tc>
        <w:tc>
          <w:tcPr>
            <w:tcW w:w="465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cs="微软雅黑"/>
                <w:kern w:val="0"/>
                <w:sz w:val="22"/>
                <w:szCs w:val="22"/>
                <w:highlight w:val="none"/>
              </w:rPr>
            </w:pPr>
            <w:r>
              <w:rPr>
                <w:rFonts w:hint="eastAsia" w:ascii="微软雅黑" w:hAnsi="微软雅黑" w:eastAsia="微软雅黑" w:cs="微软雅黑"/>
                <w:sz w:val="22"/>
                <w:szCs w:val="22"/>
                <w:highlight w:val="none"/>
              </w:rPr>
              <w:t>48盘位磁盘阵列</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台</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4</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FF0000"/>
                <w:kern w:val="0"/>
                <w:sz w:val="22"/>
                <w:szCs w:val="22"/>
                <w:highlight w:val="none"/>
              </w:rPr>
            </w:pPr>
            <w:r>
              <w:rPr>
                <w:rFonts w:hint="eastAsia" w:ascii="微软雅黑" w:hAnsi="微软雅黑" w:eastAsia="微软雅黑" w:cs="微软雅黑"/>
                <w:color w:val="FF0000"/>
                <w:kern w:val="0"/>
                <w:sz w:val="22"/>
                <w:szCs w:val="22"/>
                <w:highlight w:val="none"/>
              </w:rPr>
              <w:t>　</w:t>
            </w: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2</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sz w:val="22"/>
                <w:szCs w:val="22"/>
                <w:highlight w:val="none"/>
              </w:rPr>
              <w:t>16T企业级硬盘</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片</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175</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color w:val="FF0000"/>
                <w:kern w:val="0"/>
                <w:sz w:val="22"/>
                <w:szCs w:val="22"/>
                <w:highlight w:val="none"/>
              </w:rPr>
            </w:pPr>
            <w:r>
              <w:rPr>
                <w:rFonts w:hint="eastAsia" w:ascii="微软雅黑" w:hAnsi="微软雅黑" w:eastAsia="微软雅黑" w:cs="微软雅黑"/>
                <w:color w:val="FF0000"/>
                <w:kern w:val="0"/>
                <w:sz w:val="22"/>
                <w:szCs w:val="22"/>
                <w:highlight w:val="none"/>
              </w:rPr>
              <w:t>　</w:t>
            </w: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3</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sz w:val="22"/>
                <w:szCs w:val="22"/>
                <w:highlight w:val="none"/>
              </w:rPr>
              <w:t>20路解码器</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台</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3</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　</w:t>
            </w: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4</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sz w:val="22"/>
                <w:szCs w:val="22"/>
                <w:highlight w:val="none"/>
              </w:rPr>
              <w:t>网络摄像机200W像素</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台</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2"/>
                <w:szCs w:val="22"/>
                <w:highlight w:val="none"/>
                <w:lang w:eastAsia="zh-CN"/>
              </w:rPr>
            </w:pPr>
            <w:r>
              <w:rPr>
                <w:rFonts w:hint="eastAsia" w:ascii="微软雅黑" w:hAnsi="微软雅黑" w:eastAsia="微软雅黑" w:cs="微软雅黑"/>
                <w:kern w:val="0"/>
                <w:sz w:val="22"/>
                <w:szCs w:val="22"/>
                <w:highlight w:val="none"/>
              </w:rPr>
              <w:t>7</w:t>
            </w:r>
            <w:r>
              <w:rPr>
                <w:rFonts w:hint="eastAsia" w:ascii="微软雅黑" w:hAnsi="微软雅黑" w:eastAsia="微软雅黑" w:cs="微软雅黑"/>
                <w:kern w:val="0"/>
                <w:sz w:val="22"/>
                <w:szCs w:val="22"/>
                <w:highlight w:val="none"/>
                <w:lang w:val="en-US" w:eastAsia="zh-CN"/>
              </w:rPr>
              <w:t>2</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5</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sz w:val="22"/>
                <w:szCs w:val="22"/>
                <w:highlight w:val="none"/>
              </w:rPr>
              <w:t>网络摄像机400W像素</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台</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kern w:val="0"/>
                <w:sz w:val="22"/>
                <w:szCs w:val="22"/>
                <w:highlight w:val="none"/>
                <w:lang w:val="en-US" w:eastAsia="zh-CN"/>
              </w:rPr>
            </w:pPr>
            <w:r>
              <w:rPr>
                <w:rFonts w:hint="eastAsia" w:ascii="微软雅黑" w:hAnsi="微软雅黑" w:eastAsia="微软雅黑" w:cs="微软雅黑"/>
                <w:kern w:val="0"/>
                <w:sz w:val="22"/>
                <w:szCs w:val="22"/>
                <w:highlight w:val="none"/>
                <w:lang w:val="en-US" w:eastAsia="zh-CN"/>
              </w:rPr>
              <w:t>11</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6</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24口交换机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台</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9</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7</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立杆</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个</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65</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8</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室外箱</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个</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r>
              <w:rPr>
                <w:rFonts w:hint="eastAsia" w:ascii="微软雅黑" w:hAnsi="微软雅黑" w:eastAsia="微软雅黑" w:cs="微软雅黑"/>
                <w:kern w:val="0"/>
                <w:sz w:val="22"/>
                <w:szCs w:val="22"/>
                <w:highlight w:val="none"/>
              </w:rPr>
              <w:t>9</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微软雅黑"/>
                <w:kern w:val="0"/>
                <w:sz w:val="22"/>
                <w:szCs w:val="22"/>
                <w:highlight w:val="none"/>
              </w:rPr>
            </w:pPr>
          </w:p>
        </w:tc>
      </w:tr>
      <w:tr>
        <w:tblPrEx>
          <w:tblLayout w:type="fixed"/>
          <w:tblCellMar>
            <w:top w:w="0" w:type="dxa"/>
            <w:left w:w="108" w:type="dxa"/>
            <w:bottom w:w="0" w:type="dxa"/>
            <w:right w:w="108" w:type="dxa"/>
          </w:tblCellMar>
        </w:tblPrEx>
        <w:trPr>
          <w:trHeight w:val="465" w:hRule="atLeast"/>
        </w:trPr>
        <w:tc>
          <w:tcPr>
            <w:tcW w:w="91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FF0000"/>
                <w:kern w:val="0"/>
                <w:sz w:val="22"/>
                <w:szCs w:val="22"/>
              </w:rPr>
            </w:pPr>
            <w:r>
              <w:rPr>
                <w:rFonts w:hint="eastAsia" w:ascii="微软雅黑" w:hAnsi="微软雅黑" w:eastAsia="微软雅黑" w:cs="宋体"/>
                <w:b/>
                <w:bCs/>
                <w:kern w:val="0"/>
                <w:sz w:val="22"/>
                <w:szCs w:val="22"/>
              </w:rPr>
              <w:t>二、软件平台</w:t>
            </w:r>
            <w:r>
              <w:rPr>
                <w:rFonts w:hint="eastAsia" w:ascii="微软雅黑" w:hAnsi="微软雅黑" w:eastAsia="微软雅黑" w:cs="宋体"/>
                <w:color w:val="FF0000"/>
                <w:kern w:val="0"/>
                <w:sz w:val="22"/>
                <w:szCs w:val="22"/>
              </w:rPr>
              <w:t>　</w:t>
            </w: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1</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管理平台-基础模块</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套</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1</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FF0000"/>
                <w:kern w:val="0"/>
                <w:sz w:val="22"/>
                <w:szCs w:val="22"/>
                <w:highlight w:val="none"/>
              </w:rPr>
            </w:pPr>
            <w:r>
              <w:rPr>
                <w:rFonts w:hint="eastAsia" w:ascii="微软雅黑" w:hAnsi="微软雅黑" w:eastAsia="微软雅黑" w:cs="宋体"/>
                <w:color w:val="FF0000"/>
                <w:kern w:val="0"/>
                <w:sz w:val="22"/>
                <w:szCs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FF0000"/>
                <w:kern w:val="0"/>
                <w:sz w:val="22"/>
                <w:szCs w:val="22"/>
                <w:highlight w:val="none"/>
              </w:rPr>
            </w:pPr>
            <w:r>
              <w:rPr>
                <w:rFonts w:hint="eastAsia" w:ascii="微软雅黑" w:hAnsi="微软雅黑" w:eastAsia="微软雅黑" w:cs="宋体"/>
                <w:color w:val="FF0000"/>
                <w:kern w:val="0"/>
                <w:sz w:val="22"/>
                <w:szCs w:val="22"/>
                <w:highlight w:val="none"/>
              </w:rPr>
              <w:t>　</w:t>
            </w: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2</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管理平台-视频授权</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路</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1000</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FF0000"/>
                <w:kern w:val="0"/>
                <w:sz w:val="22"/>
                <w:szCs w:val="22"/>
                <w:highlight w:val="none"/>
              </w:rPr>
            </w:pPr>
            <w:r>
              <w:rPr>
                <w:rFonts w:hint="eastAsia" w:ascii="微软雅黑" w:hAnsi="微软雅黑" w:eastAsia="微软雅黑" w:cs="宋体"/>
                <w:color w:val="FF0000"/>
                <w:kern w:val="0"/>
                <w:sz w:val="22"/>
                <w:szCs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FF0000"/>
                <w:kern w:val="0"/>
                <w:sz w:val="22"/>
                <w:szCs w:val="22"/>
                <w:highlight w:val="none"/>
              </w:rPr>
            </w:pPr>
            <w:r>
              <w:rPr>
                <w:rFonts w:hint="eastAsia" w:ascii="微软雅黑" w:hAnsi="微软雅黑" w:eastAsia="微软雅黑" w:cs="宋体"/>
                <w:color w:val="FF0000"/>
                <w:kern w:val="0"/>
                <w:sz w:val="22"/>
                <w:szCs w:val="22"/>
                <w:highlight w:val="none"/>
              </w:rPr>
              <w:t>　</w:t>
            </w: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3</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管理平台-三方摄像机ONVIF接入定制</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套</w:t>
            </w:r>
          </w:p>
        </w:tc>
        <w:tc>
          <w:tcPr>
            <w:tcW w:w="916"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highlight w:val="none"/>
              </w:rPr>
            </w:pPr>
            <w:r>
              <w:rPr>
                <w:rFonts w:hint="eastAsia" w:ascii="微软雅黑" w:hAnsi="微软雅黑" w:eastAsia="微软雅黑" w:cs="宋体"/>
                <w:kern w:val="0"/>
                <w:sz w:val="22"/>
                <w:szCs w:val="22"/>
                <w:highlight w:val="none"/>
              </w:rPr>
              <w:t>1</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FF0000"/>
                <w:kern w:val="0"/>
                <w:sz w:val="22"/>
                <w:szCs w:val="22"/>
                <w:highlight w:val="none"/>
              </w:rPr>
            </w:pPr>
            <w:r>
              <w:rPr>
                <w:rFonts w:hint="eastAsia" w:ascii="微软雅黑" w:hAnsi="微软雅黑" w:eastAsia="微软雅黑" w:cs="宋体"/>
                <w:color w:val="FF0000"/>
                <w:kern w:val="0"/>
                <w:sz w:val="22"/>
                <w:szCs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FF0000"/>
                <w:kern w:val="0"/>
                <w:sz w:val="22"/>
                <w:szCs w:val="22"/>
                <w:highlight w:val="none"/>
              </w:rPr>
            </w:pPr>
            <w:r>
              <w:rPr>
                <w:rFonts w:hint="eastAsia" w:ascii="微软雅黑" w:hAnsi="微软雅黑" w:eastAsia="微软雅黑" w:cs="宋体"/>
                <w:color w:val="FF0000"/>
                <w:kern w:val="0"/>
                <w:sz w:val="22"/>
                <w:szCs w:val="22"/>
                <w:highlight w:val="none"/>
              </w:rPr>
              <w:t>　</w:t>
            </w:r>
          </w:p>
        </w:tc>
      </w:tr>
      <w:tr>
        <w:tblPrEx>
          <w:tblLayout w:type="fixed"/>
          <w:tblCellMar>
            <w:top w:w="0" w:type="dxa"/>
            <w:left w:w="108" w:type="dxa"/>
            <w:bottom w:w="0" w:type="dxa"/>
            <w:right w:w="108" w:type="dxa"/>
          </w:tblCellMar>
        </w:tblPrEx>
        <w:trPr>
          <w:trHeight w:val="465" w:hRule="atLeast"/>
        </w:trPr>
        <w:tc>
          <w:tcPr>
            <w:tcW w:w="91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b/>
                <w:bCs/>
                <w:color w:val="000000"/>
                <w:kern w:val="0"/>
                <w:sz w:val="22"/>
                <w:szCs w:val="22"/>
              </w:rPr>
              <w:t>三、安装、调试、辅材费</w:t>
            </w:r>
          </w:p>
        </w:tc>
      </w:tr>
      <w:tr>
        <w:tblPrEx>
          <w:tblLayout w:type="fixed"/>
          <w:tblCellMar>
            <w:top w:w="0" w:type="dxa"/>
            <w:left w:w="108" w:type="dxa"/>
            <w:bottom w:w="0" w:type="dxa"/>
            <w:right w:w="108" w:type="dxa"/>
          </w:tblCellMar>
        </w:tblPrEx>
        <w:trPr>
          <w:trHeight w:val="46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rPr>
            </w:pPr>
            <w:r>
              <w:rPr>
                <w:rFonts w:hint="eastAsia" w:ascii="微软雅黑" w:hAnsi="微软雅黑" w:eastAsia="微软雅黑" w:cs="宋体"/>
                <w:kern w:val="0"/>
                <w:sz w:val="22"/>
                <w:szCs w:val="22"/>
              </w:rPr>
              <w:t>1</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rPr>
            </w:pPr>
            <w:r>
              <w:rPr>
                <w:rFonts w:hint="eastAsia" w:ascii="微软雅黑" w:hAnsi="微软雅黑" w:eastAsia="微软雅黑" w:cs="宋体"/>
                <w:kern w:val="0"/>
                <w:sz w:val="22"/>
                <w:szCs w:val="22"/>
              </w:rPr>
              <w:t>设备安装（含电源、网络线等辅材）系统调试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w:t>
            </w: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32"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rPr>
            </w:pPr>
            <w:r>
              <w:rPr>
                <w:rFonts w:hint="eastAsia" w:ascii="微软雅黑" w:hAnsi="微软雅黑" w:eastAsia="微软雅黑" w:cs="宋体"/>
                <w:kern w:val="0"/>
                <w:sz w:val="22"/>
                <w:szCs w:val="22"/>
              </w:rPr>
              <w:t>2</w:t>
            </w:r>
          </w:p>
        </w:tc>
        <w:tc>
          <w:tcPr>
            <w:tcW w:w="465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2"/>
                <w:szCs w:val="22"/>
              </w:rPr>
            </w:pPr>
            <w:r>
              <w:rPr>
                <w:rFonts w:hint="eastAsia" w:ascii="微软雅黑" w:hAnsi="微软雅黑" w:eastAsia="微软雅黑" w:cs="宋体"/>
                <w:kern w:val="0"/>
                <w:sz w:val="22"/>
                <w:szCs w:val="22"/>
              </w:rPr>
              <w:t>路面埋管、室外箱安装施工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w:t>
            </w: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65" w:hRule="atLeast"/>
        </w:trPr>
        <w:tc>
          <w:tcPr>
            <w:tcW w:w="70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微软雅黑" w:hAnsi="微软雅黑" w:eastAsia="微软雅黑" w:cs="宋体"/>
                <w:b/>
                <w:bCs/>
                <w:color w:val="000000"/>
                <w:kern w:val="0"/>
                <w:sz w:val="22"/>
                <w:szCs w:val="22"/>
              </w:rPr>
              <w:t xml:space="preserve">四、项目总计（第一、二、三项）：  </w:t>
            </w:r>
            <w:r>
              <w:rPr>
                <w:rFonts w:hint="eastAsia" w:ascii="宋体" w:hAnsi="宋体" w:cs="宋体"/>
                <w:color w:val="000000"/>
                <w:kern w:val="0"/>
                <w:sz w:val="22"/>
                <w:szCs w:val="22"/>
              </w:rPr>
              <w:t>　</w:t>
            </w:r>
          </w:p>
        </w:tc>
        <w:tc>
          <w:tcPr>
            <w:tcW w:w="106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合计</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adjustRightInd w:val="0"/>
        <w:snapToGrid w:val="0"/>
        <w:spacing w:line="320" w:lineRule="exact"/>
        <w:rPr>
          <w:rFonts w:ascii="仿宋_GB2312" w:hAnsi="宋体" w:eastAsia="仿宋_GB2312"/>
          <w:szCs w:val="21"/>
        </w:rPr>
      </w:pPr>
      <w:r>
        <w:rPr>
          <w:rFonts w:hint="eastAsia" w:ascii="仿宋_GB2312" w:hAnsi="宋体" w:eastAsia="仿宋_GB2312"/>
          <w:b/>
          <w:szCs w:val="21"/>
        </w:rPr>
        <w:t>说明</w:t>
      </w:r>
      <w:r>
        <w:rPr>
          <w:rFonts w:hint="eastAsia" w:ascii="仿宋_GB2312" w:hAnsi="宋体" w:eastAsia="仿宋_GB2312"/>
          <w:szCs w:val="21"/>
        </w:rPr>
        <w:t>：</w:t>
      </w:r>
    </w:p>
    <w:p>
      <w:pPr>
        <w:adjustRightInd w:val="0"/>
        <w:snapToGrid w:val="0"/>
        <w:spacing w:line="320" w:lineRule="exact"/>
        <w:rPr>
          <w:rFonts w:ascii="等线" w:hAnsi="等线"/>
          <w:szCs w:val="21"/>
        </w:rPr>
      </w:pPr>
      <w:r>
        <w:rPr>
          <w:rFonts w:hint="eastAsia" w:ascii="等线" w:hAnsi="等线"/>
          <w:szCs w:val="21"/>
        </w:rPr>
        <w:t>（1）所有价格精确到小数点后2位；</w:t>
      </w:r>
    </w:p>
    <w:p>
      <w:pPr>
        <w:adjustRightInd w:val="0"/>
        <w:snapToGrid w:val="0"/>
        <w:spacing w:line="320" w:lineRule="exact"/>
        <w:rPr>
          <w:rFonts w:ascii="等线" w:hAnsi="等线"/>
          <w:szCs w:val="21"/>
        </w:rPr>
      </w:pPr>
      <w:r>
        <w:rPr>
          <w:rFonts w:hint="eastAsia" w:ascii="等线" w:hAnsi="等线"/>
          <w:szCs w:val="21"/>
        </w:rPr>
        <w:t>（2）价格应按照竞争性谈判采购文件的要求报价；</w:t>
      </w:r>
    </w:p>
    <w:p>
      <w:pPr>
        <w:adjustRightInd w:val="0"/>
        <w:snapToGrid w:val="0"/>
        <w:spacing w:line="320" w:lineRule="exact"/>
        <w:rPr>
          <w:rFonts w:ascii="等线" w:hAnsi="等线"/>
          <w:szCs w:val="21"/>
        </w:rPr>
      </w:pPr>
      <w:r>
        <w:rPr>
          <w:rFonts w:hint="eastAsia" w:ascii="等线" w:hAnsi="等线"/>
          <w:szCs w:val="21"/>
        </w:rPr>
        <w:t>（3）总价应与《分项价格表》中总价相同。</w:t>
      </w:r>
    </w:p>
    <w:p>
      <w:pPr>
        <w:adjustRightInd w:val="0"/>
        <w:snapToGrid w:val="0"/>
        <w:spacing w:line="320" w:lineRule="exact"/>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20" w:lineRule="exact"/>
        <w:rPr>
          <w:rFonts w:ascii="宋体" w:hAnsi="宋体"/>
        </w:rPr>
      </w:pPr>
      <w:r>
        <w:rPr>
          <w:rFonts w:hint="eastAsia" w:ascii="宋体" w:hAnsi="宋体"/>
        </w:rPr>
        <w:t>法定代表人或授权代表（签字或盖章）：</w:t>
      </w:r>
    </w:p>
    <w:p>
      <w:pPr>
        <w:adjustRightInd w:val="0"/>
        <w:snapToGrid w:val="0"/>
        <w:spacing w:line="320" w:lineRule="exact"/>
        <w:rPr>
          <w:rFonts w:ascii="宋体" w:hAnsi="宋体"/>
        </w:rPr>
      </w:pPr>
      <w:r>
        <w:rPr>
          <w:rFonts w:hint="eastAsia" w:ascii="宋体" w:hAnsi="宋体"/>
          <w:bCs/>
          <w:sz w:val="24"/>
        </w:rPr>
        <w:t xml:space="preserve">                                                       </w:t>
      </w:r>
      <w:r>
        <w:rPr>
          <w:rFonts w:ascii="宋体" w:hAnsi="宋体"/>
        </w:rPr>
        <w:t xml:space="preserve">   年    月    日</w:t>
      </w:r>
    </w:p>
    <w:p>
      <w:pPr>
        <w:pStyle w:val="9"/>
        <w:ind w:firstLine="0" w:firstLineChars="0"/>
        <w:sectPr>
          <w:pgSz w:w="11906" w:h="16838"/>
          <w:pgMar w:top="1803" w:right="1440" w:bottom="1803" w:left="1440"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对所有商务要求均响应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widowControl/>
        <w:adjustRightInd w:val="0"/>
        <w:snapToGrid w:val="0"/>
        <w:rPr>
          <w:rFonts w:ascii="仿宋_GB2312" w:hAnsi="宋体" w:eastAsia="仿宋_GB2312"/>
          <w:b/>
          <w:color w:val="000000"/>
          <w:kern w:val="0"/>
          <w:sz w:val="44"/>
        </w:r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宋体" w:hAnsi="宋体"/>
          <w:b/>
          <w:sz w:val="28"/>
          <w:szCs w:val="28"/>
        </w:rPr>
        <w:t>技术要求响应表</w:t>
      </w:r>
    </w:p>
    <w:p>
      <w:pPr>
        <w:adjustRightInd w:val="0"/>
        <w:snapToGrid w:val="0"/>
        <w:spacing w:line="360" w:lineRule="auto"/>
        <w:ind w:left="-88" w:leftChars="-42" w:firstLine="630" w:firstLineChars="300"/>
        <w:rPr>
          <w:rFonts w:ascii="宋体" w:hAnsi="宋体"/>
          <w:szCs w:val="21"/>
          <w:u w:val="single"/>
        </w:rPr>
      </w:pPr>
    </w:p>
    <w:tbl>
      <w:tblPr>
        <w:tblStyle w:val="33"/>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对所有技术要求均响应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w:t>
            </w:r>
          </w:p>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ascii="宋体" w:hAnsi="宋体"/>
          <w:b/>
          <w:bCs/>
          <w:sz w:val="24"/>
        </w:rPr>
        <w:sectPr>
          <w:headerReference r:id="rId4" w:type="default"/>
          <w:footerReference r:id="rId5"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五、法定代表人声明（适用于法定代表人响应）</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lang w:eastAsia="zh-CN"/>
        </w:rPr>
      </w:pPr>
      <w:r>
        <w:rPr>
          <w:rFonts w:hint="eastAsia" w:ascii="宋体" w:hAnsi="宋体"/>
          <w:b/>
          <w:sz w:val="24"/>
        </w:rPr>
        <w:br w:type="page"/>
      </w:r>
      <w:r>
        <w:rPr>
          <w:rFonts w:hint="eastAsia" w:ascii="黑体" w:hAnsi="宋体" w:eastAsia="黑体"/>
          <w:sz w:val="30"/>
          <w:szCs w:val="30"/>
        </w:rPr>
        <w:t>六、法定代表人授权委托书（适用于授权委托人响应）</w:t>
      </w:r>
      <w:r>
        <w:rPr>
          <w:rFonts w:hint="eastAsia" w:ascii="黑体" w:hAnsi="宋体" w:eastAsia="黑体"/>
          <w:sz w:val="30"/>
          <w:szCs w:val="30"/>
          <w:lang w:eastAsia="zh-CN"/>
        </w:rPr>
        <w:t>（</w:t>
      </w:r>
      <w:r>
        <w:rPr>
          <w:rFonts w:hint="eastAsia" w:ascii="黑体" w:hAnsi="宋体" w:eastAsia="黑体"/>
          <w:sz w:val="30"/>
          <w:szCs w:val="30"/>
          <w:lang w:val="en-US" w:eastAsia="zh-CN"/>
        </w:rPr>
        <w:t>提供本委托书后则不必提供五、法定代表人声明</w:t>
      </w:r>
      <w:r>
        <w:rPr>
          <w:rFonts w:hint="eastAsia" w:ascii="黑体" w:hAnsi="宋体" w:eastAsia="黑体"/>
          <w:sz w:val="30"/>
          <w:szCs w:val="30"/>
          <w:lang w:eastAsia="zh-CN"/>
        </w:rPr>
        <w:t>）</w:t>
      </w:r>
    </w:p>
    <w:p>
      <w:pPr>
        <w:widowControl/>
        <w:wordWrap w:val="0"/>
        <w:jc w:val="center"/>
        <w:rPr>
          <w:rFonts w:ascii="宋体" w:hAnsi="宋体"/>
          <w:kern w:val="0"/>
          <w:sz w:val="28"/>
          <w:szCs w:val="28"/>
        </w:rPr>
      </w:pPr>
    </w:p>
    <w:p>
      <w:pPr>
        <w:spacing w:line="360" w:lineRule="auto"/>
        <w:jc w:val="center"/>
        <w:rPr>
          <w:rFonts w:ascii="方正小标宋简体" w:hAnsi="方正小标宋简体" w:eastAsia="方正小标宋简体" w:cs="方正小标宋简体"/>
          <w:b/>
          <w:sz w:val="36"/>
          <w:szCs w:val="36"/>
        </w:rPr>
      </w:pPr>
      <w:bookmarkStart w:id="26"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w:t>
      </w:r>
      <w:r>
        <w:rPr>
          <w:rFonts w:hint="eastAsia" w:ascii="宋体" w:hAnsi="宋体"/>
          <w:sz w:val="24"/>
          <w:u w:val="single"/>
          <w:lang w:eastAsia="zh-CN"/>
        </w:rPr>
        <w:t>客服中心监控系统升级改造</w:t>
      </w:r>
      <w:r>
        <w:rPr>
          <w:rFonts w:hint="eastAsia" w:ascii="宋体" w:hAnsi="宋体"/>
          <w:sz w:val="24"/>
          <w:u w:val="single"/>
        </w:rPr>
        <w:t xml:space="preserve">项目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26"/>
    </w:p>
    <w:p>
      <w:pPr>
        <w:spacing w:line="300" w:lineRule="auto"/>
        <w:ind w:right="420"/>
        <w:jc w:val="center"/>
        <w:rPr>
          <w:rFonts w:ascii="宋体" w:hAnsi="宋体"/>
          <w:sz w:val="24"/>
        </w:rPr>
      </w:pPr>
      <w:r>
        <w:rPr>
          <w:rFonts w:ascii="宋体" w:hAnsi="宋体"/>
          <w:sz w:val="24"/>
        </w:rPr>
        <w:br w:type="page"/>
      </w:r>
      <w:bookmarkStart w:id="34" w:name="_GoBack"/>
      <w:bookmarkEnd w:id="34"/>
    </w:p>
    <w:p>
      <w:pPr>
        <w:spacing w:line="300" w:lineRule="auto"/>
        <w:ind w:right="420"/>
        <w:outlineLvl w:val="1"/>
        <w:rPr>
          <w:rFonts w:ascii="黑体" w:hAnsi="宋体" w:eastAsia="黑体"/>
          <w:sz w:val="30"/>
          <w:szCs w:val="30"/>
        </w:rPr>
      </w:pPr>
      <w:r>
        <w:rPr>
          <w:rFonts w:hint="eastAsia" w:ascii="黑体" w:hAnsi="宋体" w:eastAsia="黑体"/>
          <w:sz w:val="30"/>
          <w:szCs w:val="30"/>
          <w:lang w:val="en-US" w:eastAsia="zh-CN"/>
        </w:rPr>
        <w:t>七</w:t>
      </w:r>
      <w:r>
        <w:rPr>
          <w:rFonts w:hint="eastAsia" w:ascii="黑体" w:hAnsi="宋体" w:eastAsia="黑体"/>
          <w:sz w:val="30"/>
          <w:szCs w:val="30"/>
        </w:rPr>
        <w:t>、廉洁协议</w:t>
      </w:r>
    </w:p>
    <w:p>
      <w:pPr>
        <w:snapToGrid w:val="0"/>
        <w:spacing w:line="560" w:lineRule="exact"/>
        <w:rPr>
          <w:rFonts w:ascii="仿宋_GB2312"/>
          <w:szCs w:val="32"/>
        </w:rPr>
      </w:pPr>
      <w:r>
        <w:rPr>
          <w:rFonts w:hint="eastAsia" w:ascii="仿宋_GB2312"/>
          <w:szCs w:val="32"/>
        </w:rPr>
        <w:t>项目名称：</w:t>
      </w:r>
      <w:r>
        <w:rPr>
          <w:rFonts w:hint="eastAsia" w:ascii="仿宋_GB2312"/>
          <w:szCs w:val="32"/>
          <w:lang w:eastAsia="zh-CN"/>
        </w:rPr>
        <w:t>客服中心监控系统升级改造</w:t>
      </w:r>
      <w:r>
        <w:rPr>
          <w:rFonts w:hint="eastAsia" w:ascii="仿宋_GB2312"/>
          <w:szCs w:val="32"/>
        </w:rPr>
        <w:t xml:space="preserve">项目                                        </w:t>
      </w:r>
    </w:p>
    <w:p>
      <w:pPr>
        <w:snapToGrid w:val="0"/>
        <w:spacing w:line="560" w:lineRule="exact"/>
        <w:rPr>
          <w:rFonts w:ascii="仿宋_GB2312"/>
          <w:szCs w:val="32"/>
        </w:rPr>
      </w:pPr>
      <w:bookmarkStart w:id="27" w:name="_Toc11341_WPSOffice_Level1"/>
      <w:bookmarkStart w:id="28" w:name="_Toc11907_WPSOffice_Level1"/>
      <w:bookmarkStart w:id="29" w:name="_Toc26253_WPSOffice_Level1"/>
      <w:r>
        <w:rPr>
          <w:rFonts w:hint="eastAsia" w:ascii="仿宋_GB2312"/>
          <w:szCs w:val="32"/>
        </w:rPr>
        <w:t>甲  方：</w:t>
      </w:r>
      <w:bookmarkEnd w:id="27"/>
      <w:bookmarkEnd w:id="28"/>
      <w:bookmarkEnd w:id="29"/>
      <w:r>
        <w:rPr>
          <w:rFonts w:hint="eastAsia" w:ascii="仿宋_GB2312"/>
          <w:szCs w:val="32"/>
        </w:rPr>
        <w:t>上海飞机客户服务有限公司</w:t>
      </w:r>
    </w:p>
    <w:p>
      <w:pPr>
        <w:snapToGrid w:val="0"/>
        <w:spacing w:line="560" w:lineRule="exact"/>
        <w:rPr>
          <w:rFonts w:ascii="仿宋_GB2312"/>
          <w:szCs w:val="32"/>
        </w:rPr>
      </w:pPr>
      <w:bookmarkStart w:id="30" w:name="_Toc31341_WPSOffice_Level1"/>
      <w:bookmarkStart w:id="31" w:name="_Toc27021_WPSOffice_Level1"/>
      <w:bookmarkStart w:id="32" w:name="_Toc25445_WPSOffice_Level1"/>
      <w:r>
        <w:rPr>
          <w:rFonts w:hint="eastAsia" w:ascii="仿宋_GB2312"/>
          <w:szCs w:val="32"/>
        </w:rPr>
        <w:t>乙  方：</w:t>
      </w:r>
      <w:bookmarkEnd w:id="30"/>
      <w:bookmarkEnd w:id="31"/>
      <w:bookmarkEnd w:id="32"/>
    </w:p>
    <w:p>
      <w:pPr>
        <w:tabs>
          <w:tab w:val="left" w:pos="6300"/>
        </w:tabs>
        <w:snapToGrid w:val="0"/>
        <w:spacing w:line="460" w:lineRule="exact"/>
        <w:ind w:firstLine="573"/>
        <w:rPr>
          <w:rFonts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sz w:val="24"/>
        </w:rPr>
      </w:pPr>
      <w:r>
        <w:rPr>
          <w:rFonts w:hint="eastAsia" w:ascii="宋体" w:hAnsi="宋体"/>
          <w:sz w:val="24"/>
        </w:rPr>
        <w:t>七、本协议作为</w:t>
      </w:r>
      <w:r>
        <w:rPr>
          <w:rFonts w:hint="eastAsia" w:ascii="宋体" w:hAnsi="宋体"/>
          <w:sz w:val="24"/>
          <w:lang w:eastAsia="zh-CN"/>
        </w:rPr>
        <w:t>客服中心监控系统升级改造</w:t>
      </w:r>
      <w:r>
        <w:rPr>
          <w:rFonts w:hint="eastAsia" w:ascii="宋体" w:hAnsi="宋体"/>
          <w:sz w:val="24"/>
        </w:rPr>
        <w:t>项目合同的附件，具有与其同等的法律效力。</w:t>
      </w:r>
    </w:p>
    <w:p>
      <w:pPr>
        <w:pStyle w:val="26"/>
        <w:rPr>
          <w:rFonts w:ascii="宋体" w:hAnsi="宋体"/>
          <w:sz w:val="24"/>
          <w:szCs w:val="24"/>
        </w:rPr>
      </w:pPr>
    </w:p>
    <w:p>
      <w:pPr>
        <w:rPr>
          <w:rFonts w:ascii="宋体" w:hAnsi="宋体"/>
          <w:sz w:val="24"/>
        </w:rPr>
      </w:pPr>
    </w:p>
    <w:p>
      <w:pPr>
        <w:pStyle w:val="26"/>
        <w:rPr>
          <w:rFonts w:ascii="宋体" w:hAnsi="宋体"/>
          <w:sz w:val="24"/>
          <w:szCs w:val="24"/>
        </w:rPr>
      </w:pPr>
    </w:p>
    <w:p>
      <w:pPr>
        <w:rPr>
          <w:rFonts w:ascii="宋体" w:hAnsi="宋体"/>
          <w:sz w:val="24"/>
        </w:rPr>
      </w:pPr>
    </w:p>
    <w:p>
      <w:pPr>
        <w:pStyle w:val="26"/>
        <w:rPr>
          <w:rFonts w:ascii="宋体" w:hAnsi="宋体"/>
          <w:sz w:val="24"/>
          <w:szCs w:val="24"/>
        </w:rPr>
      </w:pPr>
    </w:p>
    <w:p>
      <w:pPr>
        <w:rPr>
          <w:rFonts w:ascii="宋体" w:hAnsi="宋体"/>
          <w:sz w:val="24"/>
        </w:rPr>
      </w:pPr>
    </w:p>
    <w:p>
      <w:pPr>
        <w:pStyle w:val="26"/>
        <w:rPr>
          <w:rFonts w:ascii="宋体" w:hAnsi="宋体"/>
          <w:sz w:val="24"/>
          <w:szCs w:val="24"/>
        </w:rPr>
      </w:pPr>
    </w:p>
    <w:p>
      <w:pPr>
        <w:rPr>
          <w:rFonts w:ascii="宋体" w:hAnsi="宋体"/>
          <w:sz w:val="24"/>
        </w:rPr>
      </w:pPr>
    </w:p>
    <w:p>
      <w:pPr>
        <w:pStyle w:val="26"/>
        <w:rPr>
          <w:rFonts w:ascii="宋体" w:hAnsi="宋体"/>
          <w:sz w:val="24"/>
          <w:szCs w:val="24"/>
        </w:rPr>
      </w:pPr>
    </w:p>
    <w:p>
      <w:pPr>
        <w:rPr>
          <w:rFonts w:ascii="宋体" w:hAnsi="宋体"/>
          <w:sz w:val="24"/>
        </w:rPr>
      </w:pPr>
    </w:p>
    <w:p>
      <w:pPr>
        <w:pStyle w:val="26"/>
      </w:pPr>
    </w:p>
    <w:p/>
    <w:p>
      <w:pPr>
        <w:pStyle w:val="26"/>
      </w:pPr>
    </w:p>
    <w:p/>
    <w:p>
      <w:pPr>
        <w:pStyle w:val="26"/>
      </w:pPr>
    </w:p>
    <w:p/>
    <w:p>
      <w:pPr>
        <w:pStyle w:val="26"/>
      </w:pPr>
    </w:p>
    <w:p>
      <w:pPr>
        <w:pStyle w:val="26"/>
        <w:numPr>
          <w:ilvl w:val="255"/>
          <w:numId w:val="0"/>
        </w:numPr>
        <w:jc w:val="both"/>
        <w:rPr>
          <w:rFonts w:hint="eastAsia" w:ascii="黑体" w:hAnsi="宋体" w:eastAsia="黑体"/>
          <w:sz w:val="30"/>
          <w:szCs w:val="30"/>
          <w:lang w:eastAsia="zh-CN"/>
        </w:rPr>
      </w:pPr>
      <w:bookmarkStart w:id="33" w:name="_Hlk170888620"/>
      <w:r>
        <w:rPr>
          <w:rFonts w:hint="eastAsia" w:ascii="黑体" w:hAnsi="宋体" w:eastAsia="黑体"/>
          <w:sz w:val="30"/>
          <w:szCs w:val="30"/>
          <w:lang w:val="en-US" w:eastAsia="zh-CN"/>
        </w:rPr>
        <w:t>八、</w:t>
      </w:r>
      <w:r>
        <w:rPr>
          <w:rFonts w:hint="eastAsia" w:ascii="黑体" w:hAnsi="宋体" w:eastAsia="黑体"/>
          <w:sz w:val="30"/>
          <w:szCs w:val="30"/>
        </w:rPr>
        <w:t>技术</w:t>
      </w:r>
      <w:r>
        <w:rPr>
          <w:rFonts w:hint="eastAsia" w:ascii="黑体" w:hAnsi="宋体" w:eastAsia="黑体"/>
          <w:sz w:val="30"/>
          <w:szCs w:val="30"/>
          <w:lang w:val="en-US" w:eastAsia="zh-CN"/>
        </w:rPr>
        <w:t>要求</w:t>
      </w:r>
    </w:p>
    <w:p>
      <w:pPr>
        <w:spacing w:line="480" w:lineRule="exact"/>
        <w:ind w:firstLine="562" w:firstLineChars="200"/>
        <w:jc w:val="center"/>
        <w:rPr>
          <w:rFonts w:ascii="仿宋" w:hAnsi="仿宋" w:eastAsia="仿宋" w:cs="仿宋"/>
        </w:rPr>
      </w:pPr>
      <w:r>
        <w:rPr>
          <w:rFonts w:hint="eastAsia" w:ascii="仿宋" w:hAnsi="仿宋" w:eastAsia="仿宋" w:cs="仿宋"/>
          <w:b/>
          <w:bCs/>
          <w:sz w:val="28"/>
          <w:szCs w:val="21"/>
        </w:rPr>
        <w:t>技术要求</w:t>
      </w:r>
    </w:p>
    <w:p>
      <w:pPr>
        <w:pStyle w:val="9"/>
        <w:ind w:firstLine="210"/>
        <w:rPr>
          <w:rFonts w:ascii="仿宋" w:hAnsi="仿宋" w:eastAsia="仿宋" w:cs="仿宋"/>
        </w:rPr>
      </w:pPr>
    </w:p>
    <w:p>
      <w:pPr>
        <w:pStyle w:val="9"/>
        <w:spacing w:after="0"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一、项目概述</w:t>
      </w:r>
    </w:p>
    <w:p>
      <w:pPr>
        <w:pStyle w:val="9"/>
        <w:spacing w:after="0" w:line="360" w:lineRule="auto"/>
        <w:ind w:firstLine="480" w:firstLineChars="200"/>
        <w:rPr>
          <w:rStyle w:val="85"/>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rPr>
        <w:t>本项目位于上海市闵行区江川东路100号园区内，现有</w:t>
      </w:r>
      <w:r>
        <w:rPr>
          <w:rStyle w:val="85"/>
          <w:rFonts w:hint="eastAsia" w:ascii="宋体" w:hAnsi="宋体" w:eastAsia="宋体" w:cs="宋体"/>
          <w:color w:val="000000" w:themeColor="text1"/>
          <w:sz w:val="24"/>
          <w:szCs w:val="24"/>
          <w14:textFill>
            <w14:solidFill>
              <w14:schemeClr w14:val="tx1"/>
            </w14:solidFill>
          </w14:textFill>
        </w:rPr>
        <w:t>视频监控系统共有摄像机674只，其中老旧模拟摄像机213只，本轮升级改造将1、2号楼外围道路上的</w:t>
      </w:r>
      <w:r>
        <w:rPr>
          <w:rStyle w:val="85"/>
          <w:rFonts w:hint="eastAsia" w:ascii="宋体" w:hAnsi="宋体" w:cs="宋体"/>
          <w:color w:val="000000" w:themeColor="text1"/>
          <w:sz w:val="24"/>
          <w:szCs w:val="24"/>
          <w:lang w:val="en-US" w:eastAsia="zh-CN"/>
          <w14:textFill>
            <w14:solidFill>
              <w14:schemeClr w14:val="tx1"/>
            </w14:solidFill>
          </w14:textFill>
        </w:rPr>
        <w:t>32台</w:t>
      </w:r>
      <w:r>
        <w:rPr>
          <w:rStyle w:val="85"/>
          <w:rFonts w:hint="eastAsia" w:ascii="宋体" w:hAnsi="宋体" w:eastAsia="宋体" w:cs="宋体"/>
          <w:color w:val="000000" w:themeColor="text1"/>
          <w:sz w:val="24"/>
          <w:szCs w:val="24"/>
          <w14:textFill>
            <w14:solidFill>
              <w14:schemeClr w14:val="tx1"/>
            </w14:solidFill>
          </w14:textFill>
        </w:rPr>
        <w:t>模拟摄像机更换为网络摄像机，满足</w:t>
      </w:r>
      <w:r>
        <w:rPr>
          <w:rStyle w:val="85"/>
          <w:rFonts w:hint="eastAsia" w:ascii="宋体" w:hAnsi="宋体" w:cs="宋体"/>
          <w:color w:val="000000" w:themeColor="text1"/>
          <w:sz w:val="24"/>
          <w:szCs w:val="24"/>
          <w:lang w:eastAsia="zh-CN"/>
          <w14:textFill>
            <w14:solidFill>
              <w14:schemeClr w14:val="tx1"/>
            </w14:solidFill>
          </w14:textFill>
        </w:rPr>
        <w:t>夜间</w:t>
      </w:r>
      <w:r>
        <w:rPr>
          <w:rStyle w:val="85"/>
          <w:rFonts w:hint="eastAsia" w:ascii="宋体" w:hAnsi="宋体" w:eastAsia="宋体" w:cs="宋体"/>
          <w:color w:val="000000" w:themeColor="text1"/>
          <w:sz w:val="24"/>
          <w:szCs w:val="24"/>
          <w14:textFill>
            <w14:solidFill>
              <w14:schemeClr w14:val="tx1"/>
            </w14:solidFill>
          </w14:textFill>
        </w:rPr>
        <w:t>视频画质清晰要求</w:t>
      </w:r>
      <w:r>
        <w:rPr>
          <w:rStyle w:val="85"/>
          <w:rFonts w:hint="eastAsia" w:ascii="宋体" w:hAnsi="宋体" w:cs="宋体"/>
          <w:color w:val="000000" w:themeColor="text1"/>
          <w:sz w:val="24"/>
          <w:szCs w:val="24"/>
          <w:lang w:eastAsia="zh-CN"/>
          <w14:textFill>
            <w14:solidFill>
              <w14:schemeClr w14:val="tx1"/>
            </w14:solidFill>
          </w14:textFill>
        </w:rPr>
        <w:t>；</w:t>
      </w:r>
      <w:r>
        <w:rPr>
          <w:rStyle w:val="85"/>
          <w:rFonts w:hint="eastAsia" w:ascii="宋体" w:hAnsi="宋体" w:eastAsia="宋体" w:cs="宋体"/>
          <w:color w:val="000000" w:themeColor="text1"/>
          <w:sz w:val="24"/>
          <w:szCs w:val="24"/>
          <w14:textFill>
            <w14:solidFill>
              <w14:schemeClr w14:val="tx1"/>
            </w14:solidFill>
          </w14:textFill>
        </w:rPr>
        <w:t>在园区西侧停车场</w:t>
      </w:r>
      <w:r>
        <w:rPr>
          <w:rStyle w:val="85"/>
          <w:rFonts w:hint="eastAsia" w:ascii="宋体" w:hAnsi="宋体" w:cs="宋体"/>
          <w:color w:val="000000" w:themeColor="text1"/>
          <w:sz w:val="24"/>
          <w:szCs w:val="24"/>
          <w:lang w:eastAsia="zh-CN"/>
          <w14:textFill>
            <w14:solidFill>
              <w14:schemeClr w14:val="tx1"/>
            </w14:solidFill>
          </w14:textFill>
        </w:rPr>
        <w:t>、</w:t>
      </w:r>
      <w:r>
        <w:rPr>
          <w:rStyle w:val="85"/>
          <w:rFonts w:hint="eastAsia" w:ascii="宋体" w:hAnsi="宋体" w:eastAsia="宋体" w:cs="宋体"/>
          <w:color w:val="000000" w:themeColor="text1"/>
          <w:sz w:val="24"/>
          <w:szCs w:val="24"/>
          <w14:textFill>
            <w14:solidFill>
              <w14:schemeClr w14:val="tx1"/>
            </w14:solidFill>
          </w14:textFill>
        </w:rPr>
        <w:t>新能源车充电桩区域、电动叉车停车棚、</w:t>
      </w:r>
      <w:r>
        <w:rPr>
          <w:rStyle w:val="85"/>
          <w:rFonts w:hint="eastAsia" w:ascii="宋体" w:hAnsi="宋体" w:cs="宋体"/>
          <w:color w:val="000000" w:themeColor="text1"/>
          <w:sz w:val="24"/>
          <w:szCs w:val="24"/>
          <w:lang w:eastAsia="zh-CN"/>
          <w14:textFill>
            <w14:solidFill>
              <w14:schemeClr w14:val="tx1"/>
            </w14:solidFill>
          </w14:textFill>
        </w:rPr>
        <w:t>航材</w:t>
      </w:r>
      <w:r>
        <w:rPr>
          <w:rStyle w:val="85"/>
          <w:rFonts w:hint="eastAsia" w:ascii="宋体" w:hAnsi="宋体" w:eastAsia="宋体" w:cs="宋体"/>
          <w:color w:val="000000" w:themeColor="text1"/>
          <w:sz w:val="24"/>
          <w:szCs w:val="24"/>
          <w14:textFill>
            <w14:solidFill>
              <w14:schemeClr w14:val="tx1"/>
            </w14:solidFill>
          </w14:textFill>
        </w:rPr>
        <w:t>库房收发点等区域增设网络摄像监控，满足园区监控全覆盖需求。原视频监控系统录像整体存储平均时间约为35天左右，因设备老旧，部分存储空间不足，约有122个监控通道录像时间不足25天</w:t>
      </w:r>
      <w:r>
        <w:rPr>
          <w:rStyle w:val="85"/>
          <w:rFonts w:hint="eastAsia" w:ascii="宋体" w:hAnsi="宋体" w:cs="宋体"/>
          <w:color w:val="000000" w:themeColor="text1"/>
          <w:sz w:val="24"/>
          <w:szCs w:val="24"/>
          <w:lang w:eastAsia="zh-CN"/>
          <w14:textFill>
            <w14:solidFill>
              <w14:schemeClr w14:val="tx1"/>
            </w14:solidFill>
          </w14:textFill>
        </w:rPr>
        <w:t>，</w:t>
      </w:r>
      <w:r>
        <w:rPr>
          <w:rStyle w:val="85"/>
          <w:rFonts w:hint="eastAsia" w:ascii="宋体" w:hAnsi="宋体" w:eastAsia="宋体" w:cs="宋体"/>
          <w:color w:val="000000" w:themeColor="text1"/>
          <w:sz w:val="24"/>
          <w:szCs w:val="24"/>
          <w14:textFill>
            <w14:solidFill>
              <w14:schemeClr w14:val="tx1"/>
            </w14:solidFill>
          </w14:textFill>
        </w:rPr>
        <w:t>为提高监控系统性能，对现有安防综合管理平台进行整合升级，通过增加视屏授权数、解码器、磁盘列阵和储存等设备，提升监控系统安全性、稳定性。</w:t>
      </w:r>
    </w:p>
    <w:p>
      <w:pPr>
        <w:pStyle w:val="9"/>
        <w:spacing w:after="0" w:line="360" w:lineRule="auto"/>
        <w:ind w:firstLine="0" w:firstLineChars="0"/>
        <w:rPr>
          <w:rStyle w:val="85"/>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二、技术要求</w:t>
      </w:r>
    </w:p>
    <w:p>
      <w:pPr>
        <w:pStyle w:val="9"/>
        <w:spacing w:after="0" w:line="360" w:lineRule="auto"/>
        <w:ind w:firstLine="480" w:firstLineChars="200"/>
        <w:rPr>
          <w:rStyle w:val="85"/>
          <w:rFonts w:hint="eastAsia" w:ascii="宋体" w:hAnsi="宋体" w:eastAsia="宋体" w:cs="宋体"/>
          <w:color w:val="000000" w:themeColor="text1"/>
          <w:sz w:val="24"/>
          <w:szCs w:val="24"/>
          <w:highlight w:val="none"/>
          <w14:textFill>
            <w14:solidFill>
              <w14:schemeClr w14:val="tx1"/>
            </w14:solidFill>
          </w14:textFill>
        </w:rPr>
      </w:pPr>
      <w:r>
        <w:rPr>
          <w:rStyle w:val="85"/>
          <w:rFonts w:hint="eastAsia" w:ascii="宋体" w:hAnsi="宋体" w:eastAsia="宋体" w:cs="宋体"/>
          <w:color w:val="000000" w:themeColor="text1"/>
          <w:sz w:val="24"/>
          <w:szCs w:val="24"/>
          <w14:textFill>
            <w14:solidFill>
              <w14:schemeClr w14:val="tx1"/>
            </w14:solidFill>
          </w14:textFill>
        </w:rPr>
        <w:t>1、升级改造后的视频监控系</w:t>
      </w:r>
      <w:r>
        <w:rPr>
          <w:rStyle w:val="85"/>
          <w:rFonts w:hint="eastAsia" w:ascii="宋体" w:hAnsi="宋体" w:eastAsia="宋体" w:cs="宋体"/>
          <w:color w:val="000000" w:themeColor="text1"/>
          <w:sz w:val="24"/>
          <w:szCs w:val="24"/>
          <w:highlight w:val="none"/>
          <w14:textFill>
            <w14:solidFill>
              <w14:schemeClr w14:val="tx1"/>
            </w14:solidFill>
          </w14:textFill>
        </w:rPr>
        <w:t>统及安防综合管理平台性能不低于现有市场同类产品，如海康威视、大华、宇视产品的指标性能，可通过协议管理不同厂家前段摄像头，实现视频存储；</w:t>
      </w:r>
    </w:p>
    <w:p>
      <w:pPr>
        <w:pStyle w:val="9"/>
        <w:spacing w:after="0" w:line="360" w:lineRule="auto"/>
        <w:ind w:firstLine="480" w:firstLineChars="200"/>
        <w:rPr>
          <w:rFonts w:hint="eastAsia" w:ascii="宋体" w:hAnsi="宋体" w:eastAsia="宋体" w:cs="宋体"/>
          <w:sz w:val="24"/>
          <w:szCs w:val="24"/>
        </w:rPr>
      </w:pPr>
      <w:r>
        <w:rPr>
          <w:rStyle w:val="85"/>
          <w:rFonts w:hint="eastAsia" w:ascii="宋体" w:hAnsi="宋体" w:eastAsia="宋体" w:cs="宋体"/>
          <w:color w:val="000000" w:themeColor="text1"/>
          <w:sz w:val="24"/>
          <w:szCs w:val="24"/>
          <w:highlight w:val="none"/>
          <w14:textFill>
            <w14:solidFill>
              <w14:schemeClr w14:val="tx1"/>
            </w14:solidFill>
          </w14:textFill>
        </w:rPr>
        <w:t>2、覆盖监控盲点区域，充电区域摄像监控要求不低于400万像素</w:t>
      </w:r>
      <w:r>
        <w:rPr>
          <w:rStyle w:val="85"/>
          <w:rFonts w:hint="eastAsia" w:ascii="宋体" w:hAnsi="宋体" w:eastAsia="宋体" w:cs="宋体"/>
          <w:color w:val="000000" w:themeColor="text1"/>
          <w:sz w:val="24"/>
          <w:szCs w:val="24"/>
          <w14:textFill>
            <w14:solidFill>
              <w14:schemeClr w14:val="tx1"/>
            </w14:solidFill>
          </w14:textFill>
        </w:rPr>
        <w:t>，其它外围区域为200万像素，</w:t>
      </w:r>
      <w:r>
        <w:rPr>
          <w:rFonts w:hint="eastAsia" w:ascii="宋体" w:hAnsi="宋体" w:eastAsia="宋体" w:cs="宋体"/>
          <w:sz w:val="24"/>
          <w:szCs w:val="24"/>
        </w:rPr>
        <w:t>内置红外补光灯，最大红外监控距离50米，安装施工需铺埋线管、立柱、室外箱等</w:t>
      </w:r>
      <w:r>
        <w:rPr>
          <w:rFonts w:hint="eastAsia" w:ascii="宋体" w:hAnsi="宋体" w:cs="宋体"/>
          <w:sz w:val="24"/>
          <w:szCs w:val="24"/>
          <w:lang w:eastAsia="zh-CN"/>
        </w:rPr>
        <w:t>相关辅助</w:t>
      </w:r>
      <w:r>
        <w:rPr>
          <w:rFonts w:hint="eastAsia" w:ascii="宋体" w:hAnsi="宋体" w:eastAsia="宋体" w:cs="宋体"/>
          <w:sz w:val="24"/>
          <w:szCs w:val="24"/>
        </w:rPr>
        <w:t>设施设备；</w:t>
      </w:r>
    </w:p>
    <w:p>
      <w:pPr>
        <w:pStyle w:val="9"/>
        <w:spacing w:after="0" w:line="360" w:lineRule="auto"/>
        <w:ind w:firstLine="480" w:firstLineChars="200"/>
        <w:rPr>
          <w:rFonts w:hint="eastAsia" w:ascii="宋体" w:hAnsi="宋体" w:eastAsia="宋体" w:cs="宋体"/>
          <w:b/>
          <w:bCs/>
          <w:sz w:val="24"/>
          <w:szCs w:val="24"/>
        </w:rPr>
      </w:pPr>
      <w:r>
        <w:rPr>
          <w:rStyle w:val="85"/>
          <w:rFonts w:hint="eastAsia" w:ascii="宋体" w:hAnsi="宋体" w:eastAsia="宋体" w:cs="宋体"/>
          <w:color w:val="000000" w:themeColor="text1"/>
          <w:sz w:val="24"/>
          <w:szCs w:val="24"/>
          <w14:textFill>
            <w14:solidFill>
              <w14:schemeClr w14:val="tx1"/>
            </w14:solidFill>
          </w14:textFill>
        </w:rPr>
        <w:t>3、通过升级更换存储设备，保证稳定的数据存储和录像时间，避免数据丢失，根据区域等级划分设定录像时长，重点区域</w:t>
      </w:r>
      <w:r>
        <w:rPr>
          <w:rStyle w:val="85"/>
          <w:rFonts w:hint="eastAsia" w:ascii="宋体" w:hAnsi="宋体" w:cs="宋体"/>
          <w:color w:val="000000" w:themeColor="text1"/>
          <w:sz w:val="24"/>
          <w:szCs w:val="24"/>
          <w:lang w:eastAsia="zh-CN"/>
          <w14:textFill>
            <w14:solidFill>
              <w14:schemeClr w14:val="tx1"/>
            </w14:solidFill>
          </w14:textFill>
        </w:rPr>
        <w:t>不少于</w:t>
      </w:r>
      <w:r>
        <w:rPr>
          <w:rStyle w:val="85"/>
          <w:rFonts w:hint="eastAsia" w:ascii="宋体" w:hAnsi="宋体" w:eastAsia="宋体" w:cs="宋体"/>
          <w:color w:val="000000" w:themeColor="text1"/>
          <w:sz w:val="24"/>
          <w:szCs w:val="24"/>
          <w14:textFill>
            <w14:solidFill>
              <w14:schemeClr w14:val="tx1"/>
            </w14:solidFill>
          </w14:textFill>
        </w:rPr>
        <w:t>90天，</w:t>
      </w:r>
      <w:r>
        <w:rPr>
          <w:rStyle w:val="85"/>
          <w:rFonts w:hint="eastAsia" w:ascii="宋体" w:hAnsi="宋体" w:cs="宋体"/>
          <w:color w:val="000000" w:themeColor="text1"/>
          <w:sz w:val="24"/>
          <w:szCs w:val="24"/>
          <w:lang w:eastAsia="zh-CN"/>
          <w14:textFill>
            <w14:solidFill>
              <w14:schemeClr w14:val="tx1"/>
            </w14:solidFill>
          </w14:textFill>
        </w:rPr>
        <w:t>航材</w:t>
      </w:r>
      <w:r>
        <w:rPr>
          <w:rStyle w:val="85"/>
          <w:rFonts w:hint="eastAsia" w:ascii="宋体" w:hAnsi="宋体" w:eastAsia="宋体" w:cs="宋体"/>
          <w:color w:val="000000" w:themeColor="text1"/>
          <w:sz w:val="24"/>
          <w:szCs w:val="24"/>
          <w14:textFill>
            <w14:solidFill>
              <w14:schemeClr w14:val="tx1"/>
            </w14:solidFill>
          </w14:textFill>
        </w:rPr>
        <w:t>库房2个收发点位达到180天，其它区域</w:t>
      </w:r>
      <w:r>
        <w:rPr>
          <w:rStyle w:val="85"/>
          <w:rFonts w:hint="eastAsia" w:ascii="宋体" w:hAnsi="宋体" w:cs="宋体"/>
          <w:color w:val="000000" w:themeColor="text1"/>
          <w:sz w:val="24"/>
          <w:szCs w:val="24"/>
          <w:lang w:eastAsia="zh-CN"/>
          <w14:textFill>
            <w14:solidFill>
              <w14:schemeClr w14:val="tx1"/>
            </w14:solidFill>
          </w14:textFill>
        </w:rPr>
        <w:t>不少于</w:t>
      </w:r>
      <w:r>
        <w:rPr>
          <w:rStyle w:val="85"/>
          <w:rFonts w:hint="eastAsia" w:ascii="宋体" w:hAnsi="宋体" w:eastAsia="宋体" w:cs="宋体"/>
          <w:color w:val="000000" w:themeColor="text1"/>
          <w:sz w:val="24"/>
          <w:szCs w:val="24"/>
          <w14:textFill>
            <w14:solidFill>
              <w14:schemeClr w14:val="tx1"/>
            </w14:solidFill>
          </w14:textFill>
        </w:rPr>
        <w:t>30天。</w:t>
      </w:r>
    </w:p>
    <w:p>
      <w:pPr>
        <w:spacing w:line="480" w:lineRule="exact"/>
        <w:ind w:firstLine="482" w:firstLineChars="200"/>
        <w:jc w:val="center"/>
        <w:rPr>
          <w:rFonts w:hint="eastAsia" w:ascii="宋体" w:hAnsi="宋体" w:eastAsia="宋体" w:cs="宋体"/>
          <w:b/>
          <w:bCs/>
          <w:sz w:val="24"/>
          <w:szCs w:val="24"/>
        </w:rPr>
      </w:pPr>
    </w:p>
    <w:p>
      <w:pPr>
        <w:spacing w:line="480" w:lineRule="exact"/>
        <w:ind w:firstLine="482" w:firstLineChars="200"/>
        <w:jc w:val="center"/>
        <w:rPr>
          <w:rFonts w:hint="eastAsia" w:ascii="宋体" w:hAnsi="宋体" w:eastAsia="宋体" w:cs="宋体"/>
          <w:b/>
          <w:bCs/>
          <w:sz w:val="24"/>
          <w:szCs w:val="24"/>
        </w:rPr>
      </w:pPr>
    </w:p>
    <w:p>
      <w:pPr>
        <w:spacing w:line="480" w:lineRule="exact"/>
        <w:ind w:firstLine="482" w:firstLineChars="200"/>
        <w:jc w:val="center"/>
        <w:rPr>
          <w:rFonts w:hint="eastAsia" w:ascii="宋体" w:hAnsi="宋体" w:eastAsia="宋体" w:cs="宋体"/>
          <w:b/>
          <w:bCs/>
          <w:sz w:val="24"/>
          <w:szCs w:val="24"/>
        </w:rPr>
      </w:pPr>
    </w:p>
    <w:p>
      <w:pPr>
        <w:spacing w:line="480" w:lineRule="exact"/>
        <w:ind w:firstLine="482" w:firstLineChars="200"/>
        <w:jc w:val="center"/>
        <w:rPr>
          <w:rFonts w:hint="eastAsia" w:ascii="宋体" w:hAnsi="宋体" w:eastAsia="宋体" w:cs="宋体"/>
          <w:b/>
          <w:bCs/>
          <w:sz w:val="24"/>
          <w:szCs w:val="24"/>
        </w:rPr>
      </w:pPr>
    </w:p>
    <w:p>
      <w:pPr>
        <w:spacing w:line="480" w:lineRule="exact"/>
        <w:ind w:firstLine="482" w:firstLineChars="200"/>
        <w:jc w:val="center"/>
        <w:rPr>
          <w:rFonts w:hint="eastAsia" w:ascii="宋体" w:hAnsi="宋体" w:eastAsia="宋体" w:cs="宋体"/>
          <w:b/>
          <w:bCs/>
          <w:sz w:val="24"/>
          <w:szCs w:val="24"/>
        </w:rPr>
      </w:pPr>
    </w:p>
    <w:p>
      <w:pPr>
        <w:spacing w:line="48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主要硬件设备部分技术要求</w:t>
      </w:r>
    </w:p>
    <w:p>
      <w:pPr>
        <w:spacing w:line="480" w:lineRule="exact"/>
        <w:ind w:firstLine="566" w:firstLineChars="235"/>
        <w:rPr>
          <w:rFonts w:hint="eastAsia" w:ascii="宋体" w:hAnsi="宋体" w:eastAsia="宋体" w:cs="宋体"/>
          <w:b/>
          <w:bCs/>
          <w:sz w:val="24"/>
          <w:szCs w:val="24"/>
        </w:rPr>
      </w:pPr>
      <w:r>
        <w:rPr>
          <w:rFonts w:hint="eastAsia" w:ascii="宋体" w:hAnsi="宋体" w:eastAsia="宋体" w:cs="宋体"/>
          <w:b/>
          <w:bCs/>
          <w:sz w:val="24"/>
          <w:szCs w:val="24"/>
        </w:rPr>
        <w:t>技术参数要求：</w:t>
      </w:r>
    </w:p>
    <w:tbl>
      <w:tblPr>
        <w:tblStyle w:val="33"/>
        <w:tblW w:w="822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9"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1</w:t>
            </w:r>
          </w:p>
        </w:tc>
        <w:tc>
          <w:tcPr>
            <w:tcW w:w="7513"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安防综合管理平台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Merge w:val="continue"/>
            <w:vAlign w:val="center"/>
          </w:tcPr>
          <w:p>
            <w:pPr>
              <w:spacing w:line="276" w:lineRule="auto"/>
              <w:jc w:val="center"/>
              <w:rPr>
                <w:rFonts w:hint="eastAsia" w:ascii="宋体" w:hAnsi="宋体" w:eastAsia="宋体" w:cs="宋体"/>
                <w:sz w:val="24"/>
                <w:szCs w:val="24"/>
              </w:rPr>
            </w:pPr>
          </w:p>
        </w:tc>
        <w:tc>
          <w:tcPr>
            <w:tcW w:w="751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智能物联综合业务管理平台，配套B/S管理员端、C/S客户端、移动APP终端（iOS、Android）、小程序等不同应用端。</w:t>
            </w:r>
          </w:p>
          <w:p>
            <w:pPr>
              <w:spacing w:line="360" w:lineRule="auto"/>
              <w:rPr>
                <w:rFonts w:hint="eastAsia" w:ascii="宋体" w:hAnsi="宋体" w:eastAsia="宋体" w:cs="宋体"/>
                <w:sz w:val="24"/>
                <w:szCs w:val="24"/>
              </w:rPr>
            </w:pPr>
            <w:r>
              <w:rPr>
                <w:rFonts w:hint="eastAsia" w:ascii="宋体" w:hAnsi="宋体" w:eastAsia="宋体" w:cs="宋体"/>
                <w:sz w:val="24"/>
                <w:szCs w:val="24"/>
              </w:rPr>
              <w:t>平台业务架构支持通过业务服务集群部署扩展业务处理能力，通过设备接入服务分布式部署扩展设备接入能力。</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支持基础资源管理，提供事件中心、数据存储、电子地图、日志记录等基础功能;</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支持平台运维，提供服务部署维护功能、支持模块化升级部署、系统资源使用情况监控等运维相关功能；</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支持级联、分布式、集群，实现系统核心能力提升；</w:t>
            </w:r>
          </w:p>
          <w:p>
            <w:pPr>
              <w:spacing w:line="360" w:lineRule="auto"/>
              <w:rPr>
                <w:rFonts w:hint="eastAsia" w:ascii="宋体" w:hAnsi="宋体" w:eastAsia="宋体" w:cs="宋体"/>
                <w:sz w:val="24"/>
                <w:szCs w:val="24"/>
              </w:rPr>
            </w:pPr>
            <w:r>
              <w:rPr>
                <w:rFonts w:hint="eastAsia" w:ascii="宋体" w:hAnsi="宋体" w:eastAsia="宋体" w:cs="宋体"/>
                <w:sz w:val="24"/>
                <w:szCs w:val="24"/>
              </w:rPr>
              <w:t>支持双机热备，提升系统灾备能力，保障系统的可靠性；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2</w:t>
            </w:r>
          </w:p>
        </w:tc>
        <w:tc>
          <w:tcPr>
            <w:tcW w:w="7513"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48盘位磁盘阵列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Merge w:val="continue"/>
            <w:vAlign w:val="center"/>
          </w:tcPr>
          <w:p>
            <w:pPr>
              <w:spacing w:line="276" w:lineRule="auto"/>
              <w:jc w:val="center"/>
              <w:rPr>
                <w:rFonts w:hint="eastAsia" w:ascii="宋体" w:hAnsi="宋体" w:eastAsia="宋体" w:cs="宋体"/>
                <w:sz w:val="24"/>
                <w:szCs w:val="24"/>
              </w:rPr>
            </w:pPr>
          </w:p>
        </w:tc>
        <w:tc>
          <w:tcPr>
            <w:tcW w:w="751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64位高性能多核处理器，1+1冗余电源，48盘位，单盘最大支持20TB硬盘；具有4个千兆数据网口，1个百兆管理网口，支持扩展4个千兆数据网口</w:t>
            </w:r>
          </w:p>
          <w:p>
            <w:pPr>
              <w:spacing w:line="360" w:lineRule="auto"/>
              <w:rPr>
                <w:rFonts w:hint="eastAsia" w:ascii="宋体" w:hAnsi="宋体" w:eastAsia="宋体" w:cs="宋体"/>
                <w:sz w:val="24"/>
                <w:szCs w:val="24"/>
              </w:rPr>
            </w:pPr>
            <w:r>
              <w:rPr>
                <w:rFonts w:hint="eastAsia" w:ascii="宋体" w:hAnsi="宋体" w:eastAsia="宋体" w:cs="宋体"/>
                <w:sz w:val="24"/>
                <w:szCs w:val="24"/>
              </w:rPr>
              <w:t>设备可通过ONVIF、GB28181、RTSP、视图库、主动注册等协议管理不同厂家前端摄像头，实现视频存储。</w:t>
            </w:r>
          </w:p>
          <w:p>
            <w:pPr>
              <w:spacing w:line="360" w:lineRule="auto"/>
              <w:rPr>
                <w:rFonts w:hint="eastAsia" w:ascii="宋体" w:hAnsi="宋体" w:eastAsia="宋体" w:cs="宋体"/>
                <w:sz w:val="24"/>
                <w:szCs w:val="24"/>
              </w:rPr>
            </w:pPr>
            <w:r>
              <w:rPr>
                <w:rFonts w:hint="eastAsia" w:ascii="宋体" w:hAnsi="宋体" w:eastAsia="宋体" w:cs="宋体"/>
                <w:sz w:val="24"/>
                <w:szCs w:val="24"/>
              </w:rPr>
              <w:t>▲支持硬盘健康状态监测，定期巡检，针对异常硬盘风险预警，支持系统盘、风扇、电源等异常告警。</w:t>
            </w:r>
          </w:p>
          <w:p>
            <w:pPr>
              <w:spacing w:line="360" w:lineRule="auto"/>
              <w:rPr>
                <w:rFonts w:hint="eastAsia" w:ascii="宋体" w:hAnsi="宋体" w:eastAsia="宋体" w:cs="宋体"/>
                <w:sz w:val="24"/>
                <w:szCs w:val="24"/>
              </w:rPr>
            </w:pPr>
            <w:r>
              <w:rPr>
                <w:rFonts w:hint="eastAsia" w:ascii="宋体" w:hAnsi="宋体" w:eastAsia="宋体" w:cs="宋体"/>
                <w:sz w:val="24"/>
                <w:szCs w:val="24"/>
              </w:rPr>
              <w:t>▲支持任意 N 台设备（N≥2） 通过 SAS数据线组成环状结构集群， 设备集群之间数据能够通过环状结构进行传递和通信， 其中任意 1 台设备都可以访问其下游设备中的数据。（需提供检测报告文件）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▲支持多台设备组成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同时该故障设备的硬盘中数据可以被上游设备读取。（需提供检测报告文件）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3</w:t>
            </w:r>
          </w:p>
        </w:tc>
        <w:tc>
          <w:tcPr>
            <w:tcW w:w="7513"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20路解码器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9" w:hRule="atLeast"/>
        </w:trPr>
        <w:tc>
          <w:tcPr>
            <w:tcW w:w="709" w:type="dxa"/>
            <w:vMerge w:val="continue"/>
            <w:vAlign w:val="center"/>
          </w:tcPr>
          <w:p>
            <w:pPr>
              <w:spacing w:line="276" w:lineRule="auto"/>
              <w:jc w:val="center"/>
              <w:rPr>
                <w:rFonts w:hint="eastAsia" w:ascii="宋体" w:hAnsi="宋体" w:eastAsia="宋体" w:cs="宋体"/>
                <w:sz w:val="24"/>
                <w:szCs w:val="24"/>
              </w:rPr>
            </w:pPr>
          </w:p>
        </w:tc>
        <w:tc>
          <w:tcPr>
            <w:tcW w:w="7513"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▲支持20路HDMI信号输出，输出接口最大支持3840×2160@60及以下常规分辨率和自定义分辨率输出。（需提供检测报告文件）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▲每个输出口可同时实现M*N自由分割，最大支持不少于36路画面分割，每个子画面的主码流是1920*1080，并且帧率稳定在30帧，分辨率和帧率保持不变。（需提供检测报告文件）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▲支持1路HDMI接入和1路DP接入，可同时支持1路分辨率为3840×2160@60Hz 和1路分辨率为3840×2160@30Hz的视频图像采集并输出显示（需提供检测报告文件）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▲支持RGB采集上墙显示，输出图像与采集源图像画质无明显差别。（需提供检测报告文件）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设备前面板集成旋钮，支持旋钮调节音量大小、设置ip，设置快捷控制电视墙等；自带LCD液晶屏，可显示设备状态；具备快捷键进行预案切换，轮巡，采集信号快速上墙。（需提供检测报告文件）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Merge w:val="restart"/>
            <w:vAlign w:val="center"/>
          </w:tcPr>
          <w:p>
            <w:pPr>
              <w:spacing w:line="276" w:lineRule="auto"/>
              <w:jc w:val="center"/>
              <w:rPr>
                <w:rFonts w:hint="eastAsia" w:ascii="宋体" w:hAnsi="宋体" w:eastAsia="宋体" w:cs="宋体"/>
                <w:sz w:val="24"/>
                <w:szCs w:val="24"/>
              </w:rPr>
            </w:pPr>
            <w:r>
              <w:rPr>
                <w:rFonts w:hint="eastAsia" w:ascii="宋体" w:hAnsi="宋体" w:cs="宋体"/>
                <w:sz w:val="24"/>
                <w:szCs w:val="24"/>
                <w:lang w:val="en-US" w:eastAsia="zh-CN"/>
              </w:rPr>
              <w:t>*</w:t>
            </w:r>
            <w:r>
              <w:rPr>
                <w:rFonts w:hint="eastAsia" w:ascii="宋体" w:hAnsi="宋体" w:eastAsia="宋体" w:cs="宋体"/>
                <w:sz w:val="24"/>
                <w:szCs w:val="24"/>
              </w:rPr>
              <w:t>4</w:t>
            </w:r>
          </w:p>
        </w:tc>
        <w:tc>
          <w:tcPr>
            <w:tcW w:w="7513"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网络摄像机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09" w:type="dxa"/>
            <w:vMerge w:val="continue"/>
            <w:vAlign w:val="center"/>
          </w:tcPr>
          <w:p>
            <w:pPr>
              <w:spacing w:line="276" w:lineRule="auto"/>
              <w:jc w:val="center"/>
              <w:rPr>
                <w:rFonts w:hint="eastAsia" w:ascii="宋体" w:hAnsi="宋体" w:eastAsia="宋体" w:cs="宋体"/>
                <w:sz w:val="24"/>
                <w:szCs w:val="24"/>
              </w:rPr>
            </w:pPr>
          </w:p>
        </w:tc>
        <w:tc>
          <w:tcPr>
            <w:tcW w:w="7513"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星光级，内置高效红外补光灯，最大红外监控距离50米，</w:t>
            </w:r>
          </w:p>
          <w:p>
            <w:pPr>
              <w:spacing w:line="360" w:lineRule="auto"/>
              <w:rPr>
                <w:rFonts w:hint="eastAsia" w:ascii="宋体" w:hAnsi="宋体" w:eastAsia="宋体" w:cs="宋体"/>
                <w:sz w:val="24"/>
                <w:szCs w:val="24"/>
              </w:rPr>
            </w:pPr>
            <w:r>
              <w:rPr>
                <w:rFonts w:hint="eastAsia" w:ascii="宋体" w:hAnsi="宋体" w:eastAsia="宋体" w:cs="宋体"/>
                <w:sz w:val="24"/>
                <w:szCs w:val="24"/>
              </w:rPr>
              <w:t>支持ROI，SMART H.264/H.265，灵活编码，适用不同带宽和存储环境</w:t>
            </w:r>
          </w:p>
          <w:p>
            <w:pPr>
              <w:spacing w:line="360" w:lineRule="auto"/>
              <w:rPr>
                <w:rFonts w:hint="eastAsia" w:ascii="宋体" w:hAnsi="宋体" w:eastAsia="宋体" w:cs="宋体"/>
                <w:sz w:val="24"/>
                <w:szCs w:val="24"/>
              </w:rPr>
            </w:pPr>
            <w:r>
              <w:rPr>
                <w:rFonts w:hint="eastAsia" w:ascii="宋体" w:hAnsi="宋体" w:eastAsia="宋体" w:cs="宋体"/>
                <w:sz w:val="24"/>
                <w:szCs w:val="24"/>
              </w:rPr>
              <w:t>支持绊线入侵，区域入侵</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支持走廊模式，宽动态，3D降噪，强光抑制，背光补偿，数字水印，适用不同监控环境</w:t>
            </w:r>
          </w:p>
          <w:p>
            <w:pPr>
              <w:spacing w:line="360" w:lineRule="auto"/>
              <w:rPr>
                <w:rFonts w:hint="eastAsia" w:ascii="宋体" w:hAnsi="宋体" w:eastAsia="宋体" w:cs="宋体"/>
                <w:sz w:val="24"/>
                <w:szCs w:val="24"/>
              </w:rPr>
            </w:pPr>
            <w:r>
              <w:rPr>
                <w:rFonts w:hint="eastAsia" w:ascii="宋体" w:hAnsi="宋体" w:eastAsia="宋体" w:cs="宋体"/>
                <w:sz w:val="24"/>
                <w:szCs w:val="24"/>
              </w:rPr>
              <w:t>支持ROI，SMART H.264/H.265，灵活编码，适用不同带宽和存储环境</w:t>
            </w:r>
          </w:p>
        </w:tc>
      </w:tr>
    </w:tbl>
    <w:p>
      <w:pPr>
        <w:spacing w:line="360" w:lineRule="auto"/>
        <w:ind w:firstLine="482" w:firstLineChars="200"/>
        <w:rPr>
          <w:rFonts w:hint="eastAsia" w:ascii="宋体" w:hAnsi="宋体" w:eastAsia="宋体" w:cs="宋体"/>
          <w:b/>
          <w:bCs/>
          <w:sz w:val="24"/>
          <w:szCs w:val="24"/>
        </w:rPr>
      </w:pPr>
    </w:p>
    <w:p>
      <w:pPr>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产品证书要求：</w:t>
      </w:r>
    </w:p>
    <w:p>
      <w:pPr>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产品设备须提供</w:t>
      </w:r>
      <w:r>
        <w:rPr>
          <w:rFonts w:hint="eastAsia" w:ascii="宋体" w:hAnsi="宋体" w:eastAsia="宋体" w:cs="宋体"/>
          <w:sz w:val="24"/>
          <w:szCs w:val="24"/>
          <w:lang w:val="en-US" w:eastAsia="zh-CN"/>
        </w:rPr>
        <w:t>原厂盖章的</w:t>
      </w:r>
      <w:r>
        <w:rPr>
          <w:rFonts w:hint="eastAsia" w:ascii="宋体" w:hAnsi="宋体" w:eastAsia="宋体" w:cs="宋体"/>
          <w:sz w:val="24"/>
          <w:szCs w:val="24"/>
        </w:rPr>
        <w:t>检测报告，</w:t>
      </w:r>
      <w:r>
        <w:rPr>
          <w:rFonts w:hint="eastAsia" w:ascii="宋体" w:hAnsi="宋体" w:cs="宋体"/>
          <w:sz w:val="24"/>
          <w:szCs w:val="24"/>
          <w:lang w:eastAsia="zh-CN"/>
        </w:rPr>
        <w:t>三年原厂</w:t>
      </w:r>
      <w:r>
        <w:rPr>
          <w:rFonts w:hint="eastAsia" w:ascii="宋体" w:hAnsi="宋体" w:eastAsia="宋体" w:cs="宋体"/>
          <w:sz w:val="24"/>
          <w:szCs w:val="24"/>
        </w:rPr>
        <w:t>产品售后服务</w:t>
      </w:r>
      <w:r>
        <w:rPr>
          <w:rFonts w:hint="eastAsia" w:ascii="宋体" w:hAnsi="宋体" w:cs="宋体"/>
          <w:sz w:val="24"/>
          <w:szCs w:val="24"/>
          <w:lang w:eastAsia="zh-CN"/>
        </w:rPr>
        <w:t>质保</w:t>
      </w:r>
      <w:r>
        <w:rPr>
          <w:rFonts w:hint="eastAsia" w:ascii="宋体" w:hAnsi="宋体" w:eastAsia="宋体" w:cs="宋体"/>
          <w:sz w:val="24"/>
          <w:szCs w:val="24"/>
        </w:rPr>
        <w:t>承诺书，制造厂商授权书</w:t>
      </w:r>
      <w:bookmarkEnd w:id="33"/>
      <w:r>
        <w:rPr>
          <w:rFonts w:hint="eastAsia" w:ascii="宋体" w:hAnsi="宋体" w:cs="宋体"/>
          <w:sz w:val="24"/>
          <w:szCs w:val="24"/>
          <w:lang w:eastAsia="zh-CN"/>
        </w:rPr>
        <w:t>。</w:t>
      </w: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DoTC9O&#10;sAEAAEoDAAAOAAAAAAAAAAEAIAAAACIBAABkcnMvZTJvRG9jLnhtbFBLBQYAAAAABgAGAFkBAABE&#10;BQAAAAA=&#10;">
              <v:fill on="f" focussize="0,0"/>
              <v:stroke on="f" weight="1.2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GYcZ&#10;abEBAABKAwAADgAAAAAAAAABACAAAAAiAQAAZHJzL2Uyb0RvYy54bWxQSwUGAAAAAAYABgBZAQAA&#10;RQUAAAAA&#10;">
              <v:fill on="f" focussize="0,0"/>
              <v:stroke on="f" weight="1.2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B38B9825"/>
    <w:multiLevelType w:val="singleLevel"/>
    <w:tmpl w:val="B38B9825"/>
    <w:lvl w:ilvl="0" w:tentative="0">
      <w:start w:val="1"/>
      <w:numFmt w:val="lowerLetter"/>
      <w:lvlText w:val="%1."/>
      <w:lvlJc w:val="left"/>
      <w:pPr>
        <w:ind w:left="425" w:hanging="425"/>
      </w:pPr>
      <w:rPr>
        <w:rFonts w:hint="default"/>
      </w:rPr>
    </w:lvl>
  </w:abstractNum>
  <w:abstractNum w:abstractNumId="6">
    <w:nsid w:val="D57742C5"/>
    <w:multiLevelType w:val="singleLevel"/>
    <w:tmpl w:val="D57742C5"/>
    <w:lvl w:ilvl="0" w:tentative="0">
      <w:start w:val="1"/>
      <w:numFmt w:val="decimal"/>
      <w:suff w:val="nothing"/>
      <w:lvlText w:val="（%1）"/>
      <w:lvlJc w:val="left"/>
    </w:lvl>
  </w:abstractNum>
  <w:abstractNum w:abstractNumId="7">
    <w:nsid w:val="EECD0AED"/>
    <w:multiLevelType w:val="singleLevel"/>
    <w:tmpl w:val="EECD0AED"/>
    <w:lvl w:ilvl="0" w:tentative="0">
      <w:start w:val="1"/>
      <w:numFmt w:val="decimal"/>
      <w:suff w:val="nothing"/>
      <w:lvlText w:val="（%1）"/>
      <w:lvlJc w:val="left"/>
    </w:lvl>
  </w:abstractNum>
  <w:abstractNum w:abstractNumId="8">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9">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0">
    <w:nsid w:val="323DA0C3"/>
    <w:multiLevelType w:val="singleLevel"/>
    <w:tmpl w:val="323DA0C3"/>
    <w:lvl w:ilvl="0" w:tentative="0">
      <w:start w:val="1"/>
      <w:numFmt w:val="decimal"/>
      <w:suff w:val="nothing"/>
      <w:lvlText w:val="%1）"/>
      <w:lvlJc w:val="left"/>
    </w:lvl>
  </w:abstractNum>
  <w:abstractNum w:abstractNumId="11">
    <w:nsid w:val="4AD92ED3"/>
    <w:multiLevelType w:val="multilevel"/>
    <w:tmpl w:val="4AD92ED3"/>
    <w:lvl w:ilvl="0" w:tentative="0">
      <w:start w:val="1"/>
      <w:numFmt w:val="none"/>
      <w:lvlText w:val="一、"/>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3">
    <w:nsid w:val="705EDC09"/>
    <w:multiLevelType w:val="singleLevel"/>
    <w:tmpl w:val="705EDC09"/>
    <w:lvl w:ilvl="0" w:tentative="0">
      <w:start w:val="2"/>
      <w:numFmt w:val="chineseCounting"/>
      <w:suff w:val="nothing"/>
      <w:lvlText w:val="%1、"/>
      <w:lvlJc w:val="left"/>
      <w:rPr>
        <w:rFonts w:hint="eastAsia"/>
      </w:rPr>
    </w:lvl>
  </w:abstractNum>
  <w:abstractNum w:abstractNumId="14">
    <w:nsid w:val="7318D1E3"/>
    <w:multiLevelType w:val="singleLevel"/>
    <w:tmpl w:val="7318D1E3"/>
    <w:lvl w:ilvl="0" w:tentative="0">
      <w:start w:val="1"/>
      <w:numFmt w:val="decimal"/>
      <w:suff w:val="nothing"/>
      <w:lvlText w:val="（%1）"/>
      <w:lvlJc w:val="left"/>
    </w:lvl>
  </w:abstractNum>
  <w:abstractNum w:abstractNumId="15">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5"/>
  </w:num>
  <w:num w:numId="4">
    <w:abstractNumId w:val="1"/>
  </w:num>
  <w:num w:numId="5">
    <w:abstractNumId w:val="0"/>
  </w:num>
  <w:num w:numId="6">
    <w:abstractNumId w:val="3"/>
  </w:num>
  <w:num w:numId="7">
    <w:abstractNumId w:val="12"/>
  </w:num>
  <w:num w:numId="8">
    <w:abstractNumId w:val="10"/>
  </w:num>
  <w:num w:numId="9">
    <w:abstractNumId w:val="14"/>
  </w:num>
  <w:num w:numId="10">
    <w:abstractNumId w:val="7"/>
  </w:num>
  <w:num w:numId="11">
    <w:abstractNumId w:val="9"/>
  </w:num>
  <w:num w:numId="12">
    <w:abstractNumId w:val="5"/>
  </w:num>
  <w:num w:numId="13">
    <w:abstractNumId w:val="8"/>
  </w:num>
  <w:num w:numId="14">
    <w:abstractNumId w:val="6"/>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jU2MzViYWZlZTk0MDEzZDVhMWUyNjQ2N2EyOTIifQ=="/>
  </w:docVars>
  <w:rsids>
    <w:rsidRoot w:val="0058731E"/>
    <w:rsid w:val="000471BA"/>
    <w:rsid w:val="00067AF4"/>
    <w:rsid w:val="00084AAD"/>
    <w:rsid w:val="000A637F"/>
    <w:rsid w:val="000C5373"/>
    <w:rsid w:val="001041CB"/>
    <w:rsid w:val="00166FD9"/>
    <w:rsid w:val="00170211"/>
    <w:rsid w:val="00250DE7"/>
    <w:rsid w:val="00276C4D"/>
    <w:rsid w:val="002D6488"/>
    <w:rsid w:val="002E18F1"/>
    <w:rsid w:val="00411295"/>
    <w:rsid w:val="0043279C"/>
    <w:rsid w:val="004E5CE3"/>
    <w:rsid w:val="0051215A"/>
    <w:rsid w:val="00526819"/>
    <w:rsid w:val="00551747"/>
    <w:rsid w:val="0058731E"/>
    <w:rsid w:val="005E5C40"/>
    <w:rsid w:val="00600359"/>
    <w:rsid w:val="00620221"/>
    <w:rsid w:val="00625A39"/>
    <w:rsid w:val="006F70B3"/>
    <w:rsid w:val="00720B5A"/>
    <w:rsid w:val="007C73C8"/>
    <w:rsid w:val="008122E6"/>
    <w:rsid w:val="008151B0"/>
    <w:rsid w:val="00867C23"/>
    <w:rsid w:val="00873B6F"/>
    <w:rsid w:val="00900BE9"/>
    <w:rsid w:val="00920312"/>
    <w:rsid w:val="00996218"/>
    <w:rsid w:val="009D5A87"/>
    <w:rsid w:val="00A42E88"/>
    <w:rsid w:val="00A57790"/>
    <w:rsid w:val="00B6244E"/>
    <w:rsid w:val="00C07F87"/>
    <w:rsid w:val="00C736BC"/>
    <w:rsid w:val="00CD4737"/>
    <w:rsid w:val="00CF31D5"/>
    <w:rsid w:val="00DF4372"/>
    <w:rsid w:val="00E55E65"/>
    <w:rsid w:val="00EA1EDE"/>
    <w:rsid w:val="00EA4576"/>
    <w:rsid w:val="00EB1420"/>
    <w:rsid w:val="00F56E7F"/>
    <w:rsid w:val="00FD66E3"/>
    <w:rsid w:val="00FF7CB1"/>
    <w:rsid w:val="07AF3856"/>
    <w:rsid w:val="088B0353"/>
    <w:rsid w:val="09C61E80"/>
    <w:rsid w:val="0A264E6B"/>
    <w:rsid w:val="0AA85E09"/>
    <w:rsid w:val="0FBF55CE"/>
    <w:rsid w:val="112165DF"/>
    <w:rsid w:val="11E4204D"/>
    <w:rsid w:val="126036EF"/>
    <w:rsid w:val="15907791"/>
    <w:rsid w:val="19A2110C"/>
    <w:rsid w:val="19DA3A05"/>
    <w:rsid w:val="1C777C29"/>
    <w:rsid w:val="227321DF"/>
    <w:rsid w:val="24E20907"/>
    <w:rsid w:val="29D45129"/>
    <w:rsid w:val="2F503722"/>
    <w:rsid w:val="2FC61E43"/>
    <w:rsid w:val="35465E1F"/>
    <w:rsid w:val="35B2551B"/>
    <w:rsid w:val="37855697"/>
    <w:rsid w:val="39F415BD"/>
    <w:rsid w:val="3EA90437"/>
    <w:rsid w:val="40BD2074"/>
    <w:rsid w:val="41693F94"/>
    <w:rsid w:val="42EC7284"/>
    <w:rsid w:val="43951AD1"/>
    <w:rsid w:val="45532013"/>
    <w:rsid w:val="47C720E1"/>
    <w:rsid w:val="48AA4A61"/>
    <w:rsid w:val="4BCB511F"/>
    <w:rsid w:val="4F4F0E00"/>
    <w:rsid w:val="50683EFE"/>
    <w:rsid w:val="51F300E0"/>
    <w:rsid w:val="526E7D3E"/>
    <w:rsid w:val="54B35D06"/>
    <w:rsid w:val="563D07E9"/>
    <w:rsid w:val="5A102080"/>
    <w:rsid w:val="5D295DA1"/>
    <w:rsid w:val="5EF14AF5"/>
    <w:rsid w:val="61BD4D7F"/>
    <w:rsid w:val="62412739"/>
    <w:rsid w:val="626C40BC"/>
    <w:rsid w:val="63533292"/>
    <w:rsid w:val="6CC35376"/>
    <w:rsid w:val="6D243053"/>
    <w:rsid w:val="6D852858"/>
    <w:rsid w:val="6F0F7B82"/>
    <w:rsid w:val="6F160085"/>
    <w:rsid w:val="71726A52"/>
    <w:rsid w:val="7548139F"/>
    <w:rsid w:val="76797965"/>
    <w:rsid w:val="767A3BEF"/>
    <w:rsid w:val="782D51D7"/>
    <w:rsid w:val="7D115278"/>
    <w:rsid w:val="7E625C4F"/>
    <w:rsid w:val="7EE9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41"/>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42"/>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9">
    <w:name w:val="Body Text First Indent"/>
    <w:basedOn w:val="10"/>
    <w:link w:val="44"/>
    <w:qFormat/>
    <w:uiPriority w:val="0"/>
    <w:pPr>
      <w:ind w:firstLine="420" w:firstLineChars="100"/>
    </w:pPr>
  </w:style>
  <w:style w:type="paragraph" w:styleId="10">
    <w:name w:val="Body Text"/>
    <w:basedOn w:val="1"/>
    <w:next w:val="1"/>
    <w:link w:val="43"/>
    <w:unhideWhenUsed/>
    <w:qFormat/>
    <w:uiPriority w:val="0"/>
    <w:pPr>
      <w:spacing w:after="120"/>
    </w:pPr>
  </w:style>
  <w:style w:type="paragraph" w:styleId="11">
    <w:name w:val="Normal Indent"/>
    <w:basedOn w:val="1"/>
    <w:qFormat/>
    <w:uiPriority w:val="0"/>
    <w:pPr>
      <w:ind w:firstLine="420" w:firstLineChars="200"/>
    </w:pPr>
  </w:style>
  <w:style w:type="paragraph" w:styleId="12">
    <w:name w:val="Document Map"/>
    <w:basedOn w:val="1"/>
    <w:link w:val="46"/>
    <w:semiHidden/>
    <w:qFormat/>
    <w:uiPriority w:val="0"/>
    <w:pPr>
      <w:shd w:val="clear" w:color="auto" w:fill="000080"/>
    </w:pPr>
  </w:style>
  <w:style w:type="paragraph" w:styleId="13">
    <w:name w:val="annotation text"/>
    <w:basedOn w:val="1"/>
    <w:link w:val="47"/>
    <w:qFormat/>
    <w:uiPriority w:val="0"/>
    <w:pPr>
      <w:jc w:val="left"/>
    </w:pPr>
  </w:style>
  <w:style w:type="paragraph" w:styleId="14">
    <w:name w:val="Body Text Indent"/>
    <w:basedOn w:val="1"/>
    <w:link w:val="48"/>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49"/>
    <w:qFormat/>
    <w:uiPriority w:val="0"/>
    <w:rPr>
      <w:rFonts w:ascii="宋体" w:hAnsi="Courier New"/>
      <w:szCs w:val="20"/>
    </w:rPr>
  </w:style>
  <w:style w:type="paragraph" w:styleId="17">
    <w:name w:val="Date"/>
    <w:basedOn w:val="1"/>
    <w:next w:val="1"/>
    <w:link w:val="50"/>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link w:val="51"/>
    <w:qFormat/>
    <w:uiPriority w:val="0"/>
    <w:pPr>
      <w:spacing w:after="120" w:line="480" w:lineRule="auto"/>
      <w:ind w:left="420" w:leftChars="200"/>
    </w:pPr>
  </w:style>
  <w:style w:type="paragraph" w:styleId="19">
    <w:name w:val="Balloon Text"/>
    <w:basedOn w:val="1"/>
    <w:link w:val="52"/>
    <w:semiHidden/>
    <w:qFormat/>
    <w:uiPriority w:val="99"/>
    <w:rPr>
      <w:sz w:val="18"/>
      <w:szCs w:val="18"/>
    </w:rPr>
  </w:style>
  <w:style w:type="paragraph" w:styleId="20">
    <w:name w:val="footer"/>
    <w:basedOn w:val="1"/>
    <w:link w:val="36"/>
    <w:unhideWhenUsed/>
    <w:qFormat/>
    <w:uiPriority w:val="99"/>
    <w:pPr>
      <w:tabs>
        <w:tab w:val="center" w:pos="4153"/>
        <w:tab w:val="right" w:pos="8306"/>
      </w:tabs>
      <w:snapToGrid w:val="0"/>
      <w:jc w:val="left"/>
    </w:pPr>
    <w:rPr>
      <w:sz w:val="18"/>
      <w:szCs w:val="18"/>
    </w:rPr>
  </w:style>
  <w:style w:type="paragraph" w:styleId="21">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45"/>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link w:val="53"/>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页眉 字符"/>
    <w:basedOn w:val="27"/>
    <w:link w:val="21"/>
    <w:qFormat/>
    <w:uiPriority w:val="0"/>
    <w:rPr>
      <w:sz w:val="18"/>
      <w:szCs w:val="18"/>
    </w:rPr>
  </w:style>
  <w:style w:type="character" w:customStyle="1" w:styleId="36">
    <w:name w:val="页脚 字符"/>
    <w:basedOn w:val="27"/>
    <w:link w:val="20"/>
    <w:qFormat/>
    <w:uiPriority w:val="99"/>
    <w:rPr>
      <w:sz w:val="18"/>
      <w:szCs w:val="18"/>
    </w:rPr>
  </w:style>
  <w:style w:type="character" w:customStyle="1" w:styleId="37">
    <w:name w:val="标题 1 字符"/>
    <w:basedOn w:val="27"/>
    <w:link w:val="3"/>
    <w:qFormat/>
    <w:uiPriority w:val="9"/>
    <w:rPr>
      <w:rFonts w:ascii="Times New Roman" w:hAnsi="Times New Roman" w:eastAsia="宋体" w:cs="Times New Roman"/>
      <w:b/>
      <w:bCs/>
      <w:kern w:val="44"/>
      <w:sz w:val="44"/>
      <w:szCs w:val="44"/>
    </w:rPr>
  </w:style>
  <w:style w:type="character" w:customStyle="1" w:styleId="38">
    <w:name w:val="标题 2 字符"/>
    <w:basedOn w:val="27"/>
    <w:link w:val="4"/>
    <w:qFormat/>
    <w:uiPriority w:val="9"/>
    <w:rPr>
      <w:rFonts w:ascii="Arial" w:hAnsi="Arial" w:eastAsia="黑体" w:cs="Times New Roman"/>
      <w:b/>
      <w:bCs/>
      <w:sz w:val="32"/>
      <w:szCs w:val="32"/>
    </w:rPr>
  </w:style>
  <w:style w:type="character" w:customStyle="1" w:styleId="39">
    <w:name w:val="标题 3 字符"/>
    <w:basedOn w:val="27"/>
    <w:link w:val="5"/>
    <w:qFormat/>
    <w:uiPriority w:val="0"/>
    <w:rPr>
      <w:rFonts w:ascii="Times New Roman" w:hAnsi="Times New Roman" w:eastAsia="宋体" w:cs="Times New Roman"/>
      <w:b/>
      <w:bCs/>
      <w:sz w:val="32"/>
      <w:szCs w:val="32"/>
    </w:rPr>
  </w:style>
  <w:style w:type="character" w:customStyle="1" w:styleId="40">
    <w:name w:val="标题 4 字符"/>
    <w:basedOn w:val="27"/>
    <w:link w:val="6"/>
    <w:qFormat/>
    <w:uiPriority w:val="9"/>
    <w:rPr>
      <w:rFonts w:ascii="宋体" w:hAnsi="宋体" w:eastAsia="宋体" w:cs="Times New Roman"/>
      <w:b/>
      <w:bCs/>
      <w:kern w:val="0"/>
      <w:sz w:val="24"/>
      <w:szCs w:val="24"/>
    </w:rPr>
  </w:style>
  <w:style w:type="character" w:customStyle="1" w:styleId="41">
    <w:name w:val="标题 5 字符"/>
    <w:basedOn w:val="27"/>
    <w:link w:val="7"/>
    <w:qFormat/>
    <w:uiPriority w:val="9"/>
    <w:rPr>
      <w:rFonts w:ascii="宋体" w:hAnsi="宋体" w:eastAsia="宋体" w:cs="Times New Roman"/>
      <w:b/>
      <w:bCs/>
      <w:kern w:val="0"/>
      <w:sz w:val="20"/>
      <w:szCs w:val="20"/>
    </w:rPr>
  </w:style>
  <w:style w:type="character" w:customStyle="1" w:styleId="42">
    <w:name w:val="标题 6 字符"/>
    <w:basedOn w:val="27"/>
    <w:link w:val="8"/>
    <w:qFormat/>
    <w:uiPriority w:val="9"/>
    <w:rPr>
      <w:rFonts w:ascii="宋体" w:hAnsi="宋体" w:eastAsia="宋体" w:cs="Times New Roman"/>
      <w:b/>
      <w:bCs/>
      <w:kern w:val="0"/>
      <w:sz w:val="15"/>
      <w:szCs w:val="15"/>
    </w:rPr>
  </w:style>
  <w:style w:type="character" w:customStyle="1" w:styleId="43">
    <w:name w:val="正文文本 字符"/>
    <w:basedOn w:val="27"/>
    <w:link w:val="10"/>
    <w:semiHidden/>
    <w:qFormat/>
    <w:uiPriority w:val="99"/>
    <w:rPr>
      <w:rFonts w:ascii="Times New Roman" w:hAnsi="Times New Roman" w:eastAsia="宋体" w:cs="Times New Roman"/>
      <w:szCs w:val="24"/>
    </w:rPr>
  </w:style>
  <w:style w:type="character" w:customStyle="1" w:styleId="44">
    <w:name w:val="正文文本首行缩进 字符1"/>
    <w:basedOn w:val="43"/>
    <w:link w:val="9"/>
    <w:qFormat/>
    <w:uiPriority w:val="0"/>
    <w:rPr>
      <w:rFonts w:ascii="Times New Roman" w:hAnsi="Times New Roman" w:eastAsia="宋体" w:cs="Times New Roman"/>
      <w:szCs w:val="24"/>
    </w:rPr>
  </w:style>
  <w:style w:type="character" w:customStyle="1" w:styleId="45">
    <w:name w:val="正文文本 2 字符"/>
    <w:basedOn w:val="27"/>
    <w:link w:val="24"/>
    <w:qFormat/>
    <w:uiPriority w:val="99"/>
    <w:rPr>
      <w:rFonts w:ascii="宋体" w:hAnsi="宋体" w:eastAsia="宋体" w:cs="Times New Roman"/>
      <w:kern w:val="0"/>
      <w:sz w:val="20"/>
      <w:szCs w:val="21"/>
    </w:rPr>
  </w:style>
  <w:style w:type="character" w:customStyle="1" w:styleId="46">
    <w:name w:val="文档结构图 字符"/>
    <w:basedOn w:val="27"/>
    <w:link w:val="12"/>
    <w:semiHidden/>
    <w:qFormat/>
    <w:uiPriority w:val="0"/>
    <w:rPr>
      <w:rFonts w:ascii="Times New Roman" w:hAnsi="Times New Roman" w:eastAsia="宋体" w:cs="Times New Roman"/>
      <w:szCs w:val="24"/>
      <w:shd w:val="clear" w:color="auto" w:fill="000080"/>
    </w:rPr>
  </w:style>
  <w:style w:type="character" w:customStyle="1" w:styleId="47">
    <w:name w:val="批注文字 字符"/>
    <w:basedOn w:val="27"/>
    <w:link w:val="13"/>
    <w:qFormat/>
    <w:uiPriority w:val="0"/>
    <w:rPr>
      <w:rFonts w:ascii="Times New Roman" w:hAnsi="Times New Roman" w:eastAsia="宋体" w:cs="Times New Roman"/>
      <w:szCs w:val="24"/>
    </w:rPr>
  </w:style>
  <w:style w:type="character" w:customStyle="1" w:styleId="48">
    <w:name w:val="正文文本缩进 字符"/>
    <w:basedOn w:val="27"/>
    <w:link w:val="14"/>
    <w:qFormat/>
    <w:uiPriority w:val="0"/>
    <w:rPr>
      <w:rFonts w:ascii="仿宋_GB2312" w:hAnsi="Times New Roman" w:eastAsia="仿宋_GB2312" w:cs="Times New Roman"/>
      <w:sz w:val="24"/>
      <w:szCs w:val="21"/>
    </w:rPr>
  </w:style>
  <w:style w:type="character" w:customStyle="1" w:styleId="49">
    <w:name w:val="纯文本 字符"/>
    <w:basedOn w:val="27"/>
    <w:link w:val="16"/>
    <w:qFormat/>
    <w:uiPriority w:val="0"/>
    <w:rPr>
      <w:rFonts w:ascii="宋体" w:hAnsi="Courier New" w:eastAsia="宋体" w:cs="Times New Roman"/>
      <w:szCs w:val="20"/>
    </w:rPr>
  </w:style>
  <w:style w:type="character" w:customStyle="1" w:styleId="50">
    <w:name w:val="日期 字符"/>
    <w:basedOn w:val="27"/>
    <w:link w:val="17"/>
    <w:qFormat/>
    <w:uiPriority w:val="0"/>
    <w:rPr>
      <w:rFonts w:ascii="黑体" w:hAnsi="宋体" w:eastAsia="黑体" w:cs="Times New Roman"/>
      <w:b/>
      <w:bCs/>
      <w:color w:val="000000"/>
      <w:kern w:val="0"/>
      <w:sz w:val="44"/>
      <w:szCs w:val="36"/>
    </w:rPr>
  </w:style>
  <w:style w:type="character" w:customStyle="1" w:styleId="51">
    <w:name w:val="正文文本缩进 2 字符"/>
    <w:basedOn w:val="27"/>
    <w:link w:val="18"/>
    <w:qFormat/>
    <w:uiPriority w:val="0"/>
    <w:rPr>
      <w:rFonts w:ascii="Times New Roman" w:hAnsi="Times New Roman" w:eastAsia="宋体" w:cs="Times New Roman"/>
      <w:szCs w:val="24"/>
    </w:rPr>
  </w:style>
  <w:style w:type="character" w:customStyle="1" w:styleId="52">
    <w:name w:val="批注框文本 字符"/>
    <w:basedOn w:val="27"/>
    <w:link w:val="19"/>
    <w:semiHidden/>
    <w:qFormat/>
    <w:uiPriority w:val="99"/>
    <w:rPr>
      <w:rFonts w:ascii="Times New Roman" w:hAnsi="Times New Roman" w:eastAsia="宋体" w:cs="Times New Roman"/>
      <w:sz w:val="18"/>
      <w:szCs w:val="18"/>
    </w:rPr>
  </w:style>
  <w:style w:type="character" w:customStyle="1" w:styleId="53">
    <w:name w:val="标题 字符"/>
    <w:basedOn w:val="27"/>
    <w:link w:val="26"/>
    <w:qFormat/>
    <w:uiPriority w:val="10"/>
    <w:rPr>
      <w:rFonts w:ascii="Arial" w:hAnsi="Arial" w:eastAsia="宋体" w:cs="Times New Roman"/>
      <w:b/>
      <w:kern w:val="0"/>
      <w:sz w:val="32"/>
      <w:szCs w:val="20"/>
    </w:rPr>
  </w:style>
  <w:style w:type="paragraph" w:customStyle="1" w:styleId="54">
    <w:name w:val="Normal_0"/>
    <w:qFormat/>
    <w:uiPriority w:val="0"/>
    <w:rPr>
      <w:rFonts w:ascii="Times New Roman" w:hAnsi="Times New Roman" w:eastAsia="Times New Roman" w:cs="Times New Roman"/>
      <w:sz w:val="24"/>
      <w:szCs w:val="24"/>
      <w:lang w:val="en-US" w:eastAsia="zh-CN" w:bidi="ar-SA"/>
    </w:rPr>
  </w:style>
  <w:style w:type="paragraph" w:customStyle="1" w:styleId="55">
    <w:name w:val="_Style 34"/>
    <w:basedOn w:val="1"/>
    <w:next w:val="1"/>
    <w:qFormat/>
    <w:uiPriority w:val="0"/>
    <w:pPr>
      <w:pBdr>
        <w:bottom w:val="single" w:color="auto" w:sz="6" w:space="1"/>
      </w:pBdr>
      <w:jc w:val="center"/>
    </w:pPr>
    <w:rPr>
      <w:rFonts w:ascii="Arial"/>
      <w:vanish/>
      <w:sz w:val="16"/>
    </w:rPr>
  </w:style>
  <w:style w:type="paragraph" w:customStyle="1" w:styleId="56">
    <w:name w:val="Char Char Char Char Char Char Char1 Char"/>
    <w:basedOn w:val="1"/>
    <w:qFormat/>
    <w:uiPriority w:val="0"/>
    <w:rPr>
      <w:rFonts w:ascii="Tahoma" w:hAnsi="Tahoma"/>
      <w:sz w:val="24"/>
      <w:szCs w:val="20"/>
    </w:rPr>
  </w:style>
  <w:style w:type="paragraph" w:customStyle="1" w:styleId="5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0">
    <w:name w:val="absatz1"/>
    <w:basedOn w:val="1"/>
    <w:qFormat/>
    <w:uiPriority w:val="0"/>
    <w:pPr>
      <w:widowControl/>
      <w:tabs>
        <w:tab w:val="left" w:pos="709"/>
      </w:tabs>
      <w:ind w:left="709" w:hanging="709"/>
    </w:pPr>
    <w:rPr>
      <w:kern w:val="0"/>
      <w:sz w:val="24"/>
      <w:szCs w:val="20"/>
    </w:rPr>
  </w:style>
  <w:style w:type="paragraph" w:customStyle="1" w:styleId="61">
    <w:name w:val="样式2"/>
    <w:basedOn w:val="1"/>
    <w:link w:val="81"/>
    <w:qFormat/>
    <w:uiPriority w:val="0"/>
    <w:pPr>
      <w:spacing w:line="600" w:lineRule="exact"/>
    </w:pPr>
    <w:rPr>
      <w:rFonts w:ascii="仿宋_GB2312" w:hAnsi="宋体" w:eastAsia="仿宋_GB2312"/>
      <w:b/>
      <w:sz w:val="32"/>
      <w:szCs w:val="32"/>
    </w:rPr>
  </w:style>
  <w:style w:type="paragraph" w:customStyle="1" w:styleId="62">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Char"/>
    <w:basedOn w:val="1"/>
    <w:qFormat/>
    <w:uiPriority w:val="0"/>
    <w:rPr>
      <w:rFonts w:ascii="Tahoma" w:hAnsi="Tahoma"/>
      <w:sz w:val="24"/>
      <w:szCs w:val="20"/>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 Char Char Char Char Char1 Char Char Char Char Char Char Char"/>
    <w:basedOn w:val="1"/>
    <w:qFormat/>
    <w:uiPriority w:val="0"/>
    <w:rPr>
      <w:rFonts w:ascii="Tahoma" w:hAnsi="Tahoma"/>
      <w:sz w:val="24"/>
      <w:szCs w:val="20"/>
    </w:rPr>
  </w:style>
  <w:style w:type="paragraph" w:customStyle="1" w:styleId="6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0">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1">
    <w:name w:val="默认段落字体 Para Char Char Char Char Char Char Char Char Char1 Char Char Char Char Char Char Char Char"/>
    <w:basedOn w:val="12"/>
    <w:qFormat/>
    <w:uiPriority w:val="0"/>
  </w:style>
  <w:style w:type="paragraph" w:customStyle="1" w:styleId="72">
    <w:name w:val="环小四表内容"/>
    <w:basedOn w:val="1"/>
    <w:qFormat/>
    <w:uiPriority w:val="99"/>
    <w:pPr>
      <w:wordWrap w:val="0"/>
      <w:spacing w:line="240" w:lineRule="exact"/>
      <w:jc w:val="center"/>
    </w:pPr>
    <w:rPr>
      <w:rFonts w:hAnsi="宋体"/>
      <w:sz w:val="18"/>
      <w:szCs w:val="21"/>
    </w:rPr>
  </w:style>
  <w:style w:type="paragraph" w:customStyle="1" w:styleId="73">
    <w:name w:val="_Style 52"/>
    <w:basedOn w:val="1"/>
    <w:next w:val="1"/>
    <w:qFormat/>
    <w:uiPriority w:val="0"/>
    <w:pPr>
      <w:pBdr>
        <w:top w:val="single" w:color="auto" w:sz="6" w:space="1"/>
      </w:pBdr>
      <w:jc w:val="center"/>
    </w:pPr>
    <w:rPr>
      <w:rFonts w:ascii="Arial"/>
      <w:vanish/>
      <w:sz w:val="16"/>
    </w:rPr>
  </w:style>
  <w:style w:type="paragraph" w:customStyle="1" w:styleId="74">
    <w:name w:val="环小四1.1(三级)"/>
    <w:basedOn w:val="75"/>
    <w:qFormat/>
    <w:uiPriority w:val="99"/>
  </w:style>
  <w:style w:type="paragraph" w:customStyle="1" w:styleId="75">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76">
    <w:name w:val="环小四内容"/>
    <w:basedOn w:val="1"/>
    <w:qFormat/>
    <w:uiPriority w:val="99"/>
    <w:pPr>
      <w:ind w:firstLine="200" w:firstLineChars="200"/>
    </w:pPr>
    <w:rPr>
      <w:rFonts w:hAnsi="宋体"/>
    </w:rPr>
  </w:style>
  <w:style w:type="paragraph" w:customStyle="1" w:styleId="77">
    <w:name w:val="Char Char Char"/>
    <w:basedOn w:val="1"/>
    <w:qFormat/>
    <w:uiPriority w:val="0"/>
    <w:rPr>
      <w:rFonts w:ascii="Tahoma" w:hAnsi="Tahoma"/>
      <w:sz w:val="24"/>
      <w:szCs w:val="20"/>
    </w:rPr>
  </w:style>
  <w:style w:type="paragraph" w:customStyle="1" w:styleId="78">
    <w:name w:val="正文部分1"/>
    <w:basedOn w:val="1"/>
    <w:qFormat/>
    <w:uiPriority w:val="99"/>
    <w:pPr>
      <w:ind w:firstLine="200" w:firstLineChars="200"/>
    </w:pPr>
    <w:rPr>
      <w:rFonts w:ascii="宋体" w:hAnsi="宋体"/>
      <w:color w:val="000000"/>
      <w:sz w:val="24"/>
    </w:rPr>
  </w:style>
  <w:style w:type="paragraph" w:customStyle="1" w:styleId="79">
    <w:name w:val="Char Char Char Char"/>
    <w:basedOn w:val="1"/>
    <w:qFormat/>
    <w:uiPriority w:val="0"/>
    <w:pPr>
      <w:tabs>
        <w:tab w:val="left" w:pos="360"/>
      </w:tabs>
      <w:ind w:firstLine="420" w:firstLineChars="150"/>
    </w:pPr>
    <w:rPr>
      <w:rFonts w:ascii="Arial" w:hAnsi="Arial" w:cs="Arial"/>
      <w:sz w:val="20"/>
      <w:szCs w:val="20"/>
    </w:rPr>
  </w:style>
  <w:style w:type="paragraph" w:styleId="80">
    <w:name w:val="List Paragraph"/>
    <w:basedOn w:val="1"/>
    <w:qFormat/>
    <w:uiPriority w:val="0"/>
    <w:pPr>
      <w:ind w:firstLine="420" w:firstLineChars="200"/>
    </w:pPr>
    <w:rPr>
      <w:rFonts w:ascii="Calibri" w:hAnsi="Calibri"/>
      <w:szCs w:val="22"/>
    </w:rPr>
  </w:style>
  <w:style w:type="character" w:customStyle="1" w:styleId="81">
    <w:name w:val="样式2 Char Char"/>
    <w:link w:val="61"/>
    <w:qFormat/>
    <w:uiPriority w:val="0"/>
    <w:rPr>
      <w:rFonts w:ascii="仿宋_GB2312" w:hAnsi="宋体" w:eastAsia="仿宋_GB2312" w:cs="Times New Roman"/>
      <w:b/>
      <w:sz w:val="32"/>
      <w:szCs w:val="32"/>
    </w:rPr>
  </w:style>
  <w:style w:type="character" w:customStyle="1" w:styleId="82">
    <w:name w:val="font11"/>
    <w:basedOn w:val="27"/>
    <w:qFormat/>
    <w:uiPriority w:val="0"/>
    <w:rPr>
      <w:rFonts w:hint="default" w:ascii="Times New Roman" w:hAnsi="Times New Roman" w:cs="Times New Roman"/>
      <w:color w:val="000000"/>
      <w:sz w:val="24"/>
      <w:szCs w:val="24"/>
      <w:u w:val="none"/>
    </w:rPr>
  </w:style>
  <w:style w:type="character" w:customStyle="1" w:styleId="83">
    <w:name w:val="font01"/>
    <w:basedOn w:val="27"/>
    <w:qFormat/>
    <w:uiPriority w:val="0"/>
    <w:rPr>
      <w:rFonts w:hint="eastAsia" w:ascii="宋体" w:hAnsi="宋体" w:eastAsia="宋体" w:cs="宋体"/>
      <w:color w:val="000000"/>
      <w:sz w:val="24"/>
      <w:szCs w:val="24"/>
      <w:u w:val="none"/>
    </w:rPr>
  </w:style>
  <w:style w:type="character" w:customStyle="1" w:styleId="84">
    <w:name w:val="font71"/>
    <w:basedOn w:val="27"/>
    <w:qFormat/>
    <w:uiPriority w:val="0"/>
    <w:rPr>
      <w:rFonts w:hint="default" w:ascii="Times New Roman" w:hAnsi="Times New Roman" w:cs="Times New Roman"/>
      <w:color w:val="000000"/>
      <w:sz w:val="22"/>
      <w:szCs w:val="22"/>
      <w:u w:val="none"/>
    </w:rPr>
  </w:style>
  <w:style w:type="character" w:customStyle="1" w:styleId="85">
    <w:name w:val="正文文本首行缩进 字符"/>
    <w:link w:val="86"/>
    <w:qFormat/>
    <w:uiPriority w:val="0"/>
    <w:rPr>
      <w:rFonts w:ascii="Times New Roman" w:hAnsi="Times New Roman" w:eastAsia="宋体" w:cs="Times New Roman"/>
      <w:kern w:val="0"/>
      <w:sz w:val="20"/>
      <w:szCs w:val="20"/>
    </w:rPr>
  </w:style>
  <w:style w:type="paragraph" w:customStyle="1" w:styleId="86">
    <w:name w:val="_Style 9"/>
    <w:basedOn w:val="10"/>
    <w:next w:val="9"/>
    <w:link w:val="85"/>
    <w:unhideWhenUsed/>
    <w:qFormat/>
    <w:uiPriority w:val="0"/>
    <w:pPr>
      <w:spacing w:after="0" w:line="360" w:lineRule="auto"/>
      <w:ind w:firstLine="420" w:firstLineChars="100"/>
      <w:jc w:val="center"/>
    </w:pPr>
    <w:rPr>
      <w:kern w:val="0"/>
      <w:sz w:val="20"/>
      <w:szCs w:val="20"/>
    </w:rPr>
  </w:style>
  <w:style w:type="character" w:customStyle="1" w:styleId="87">
    <w:name w:val="font51"/>
    <w:basedOn w:val="2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9575</Words>
  <Characters>10240</Characters>
  <Lines>83</Lines>
  <Paragraphs>23</Paragraphs>
  <TotalTime>15</TotalTime>
  <ScaleCrop>false</ScaleCrop>
  <LinksUpToDate>false</LinksUpToDate>
  <CharactersWithSpaces>10824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2024-03-27T06:21:00Z</dcterms:created>
  <dc:creator>W10</dc:creator>
  <cp:lastModifiedBy>孔万里</cp:lastModifiedBy>
  <cp:lastPrinted>2024-07-17T08:46:00Z</cp:lastPrinted>
  <dcterms:modified xsi:type="dcterms:W3CDTF">2024-07-26T01:25:19Z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146D6FE3031944DA802E62C7FE3D73D6_12</vt:lpwstr>
  </property>
</Properties>
</file>