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48"/>
          <w:szCs w:val="22"/>
        </w:rPr>
      </w:pPr>
    </w:p>
    <w:p>
      <w:pPr>
        <w:jc w:val="center"/>
        <w:rPr>
          <w:rFonts w:ascii="宋体" w:hAnsi="宋体"/>
          <w:color w:val="000000"/>
          <w:sz w:val="48"/>
          <w:szCs w:val="44"/>
        </w:rPr>
      </w:pPr>
    </w:p>
    <w:p>
      <w:pPr>
        <w:jc w:val="center"/>
        <w:rPr>
          <w:rFonts w:ascii="宋体" w:hAnsi="宋体"/>
          <w:color w:val="000000"/>
          <w:sz w:val="48"/>
          <w:szCs w:val="44"/>
        </w:rPr>
      </w:pPr>
    </w:p>
    <w:p>
      <w:pPr>
        <w:jc w:val="center"/>
        <w:rPr>
          <w:rFonts w:ascii="宋体" w:hAnsi="宋体"/>
          <w:color w:val="000000"/>
          <w:sz w:val="48"/>
          <w:szCs w:val="44"/>
        </w:rPr>
      </w:pPr>
    </w:p>
    <w:p>
      <w:pPr>
        <w:jc w:val="center"/>
        <w:rPr>
          <w:rFonts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竞争性谈判邀请文件</w:t>
      </w: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(服务类)</w:t>
      </w:r>
    </w:p>
    <w:p>
      <w:pPr>
        <w:spacing w:line="560" w:lineRule="exact"/>
        <w:jc w:val="center"/>
        <w:rPr>
          <w:rFonts w:ascii="仿宋_GB2312" w:eastAsia="仿宋_GB2312"/>
          <w:color w:val="000000"/>
          <w:sz w:val="32"/>
          <w:szCs w:val="28"/>
        </w:rPr>
      </w:pPr>
    </w:p>
    <w:p>
      <w:pPr>
        <w:spacing w:line="560" w:lineRule="exact"/>
        <w:ind w:firstLine="2240" w:firstLineChars="700"/>
        <w:rPr>
          <w:rFonts w:ascii="宋体" w:hAnsi="宋体"/>
          <w:color w:val="000000"/>
          <w:sz w:val="32"/>
          <w:szCs w:val="28"/>
        </w:rPr>
      </w:pPr>
      <w:r>
        <w:rPr>
          <w:rFonts w:hint="eastAsia" w:ascii="宋体" w:hAnsi="宋体"/>
          <w:color w:val="000000"/>
          <w:sz w:val="32"/>
          <w:szCs w:val="28"/>
        </w:rPr>
        <w:t>文件编号：SACSC-TP-S-2024030</w:t>
      </w:r>
    </w:p>
    <w:p>
      <w:pPr>
        <w:spacing w:line="560" w:lineRule="exact"/>
        <w:ind w:firstLine="2240" w:firstLineChars="700"/>
        <w:rPr>
          <w:rFonts w:ascii="宋体" w:hAnsi="宋体"/>
          <w:color w:val="000000"/>
          <w:sz w:val="24"/>
        </w:rPr>
      </w:pPr>
      <w:r>
        <w:rPr>
          <w:rFonts w:hint="eastAsia" w:ascii="宋体" w:hAnsi="宋体"/>
          <w:color w:val="000000"/>
          <w:sz w:val="32"/>
          <w:szCs w:val="28"/>
        </w:rPr>
        <w:t>项目名称：桌面终端及备品备件运维服务</w:t>
      </w: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pStyle w:val="2"/>
      </w:pPr>
    </w:p>
    <w:p>
      <w:pPr>
        <w:spacing w:line="560" w:lineRule="exact"/>
        <w:jc w:val="center"/>
        <w:rPr>
          <w:rFonts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ascii="仿宋_GB2312" w:eastAsia="仿宋_GB2312"/>
          <w:color w:val="000000"/>
          <w:sz w:val="32"/>
          <w:szCs w:val="28"/>
        </w:rPr>
      </w:pPr>
      <w:r>
        <w:rPr>
          <w:rFonts w:hint="eastAsia" w:ascii="宋体" w:hAnsi="宋体"/>
          <w:color w:val="000000"/>
          <w:sz w:val="32"/>
          <w:szCs w:val="28"/>
        </w:rPr>
        <w:t xml:space="preserve">     采购与供应商管理部</w:t>
      </w: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r>
        <w:rPr>
          <w:rFonts w:hint="eastAsia" w:ascii="仿宋" w:hAnsi="仿宋" w:eastAsia="仿宋" w:cs="仿宋"/>
          <w:color w:val="000000"/>
          <w:sz w:val="32"/>
          <w:szCs w:val="28"/>
        </w:rPr>
        <w:t>2024</w:t>
      </w:r>
      <w:r>
        <w:rPr>
          <w:rFonts w:hint="eastAsia" w:ascii="宋体" w:hAnsi="宋体"/>
          <w:color w:val="000000"/>
          <w:sz w:val="32"/>
          <w:szCs w:val="28"/>
        </w:rPr>
        <w:t>年11月</w:t>
      </w:r>
      <w:r>
        <w:rPr>
          <w:rFonts w:hint="eastAsia" w:ascii="宋体" w:hAnsi="宋体"/>
          <w:color w:val="000000"/>
          <w:sz w:val="32"/>
          <w:szCs w:val="28"/>
          <w:lang w:val="en-US" w:eastAsia="zh-CN"/>
        </w:rPr>
        <w:t>18</w:t>
      </w:r>
      <w:bookmarkStart w:id="31" w:name="_GoBack"/>
      <w:bookmarkEnd w:id="31"/>
      <w:r>
        <w:rPr>
          <w:rFonts w:hint="eastAsia" w:ascii="宋体" w:hAnsi="宋体"/>
          <w:color w:val="000000"/>
          <w:sz w:val="32"/>
          <w:szCs w:val="28"/>
        </w:rPr>
        <w:t>日</w:t>
      </w:r>
    </w:p>
    <w:p>
      <w:pPr>
        <w:jc w:val="center"/>
        <w:outlineLvl w:val="0"/>
        <w:rPr>
          <w:rFonts w:ascii="黑体" w:hAnsi="黑体" w:eastAsia="黑体" w:cs="黑体"/>
          <w:b/>
          <w:bCs/>
          <w:color w:val="000000"/>
          <w:sz w:val="36"/>
          <w:szCs w:val="28"/>
        </w:rPr>
      </w:pPr>
      <w:r>
        <w:rPr>
          <w:rFonts w:hint="eastAsia" w:ascii="宋体" w:hAnsi="宋体"/>
          <w:color w:val="000000"/>
          <w:sz w:val="32"/>
          <w:szCs w:val="28"/>
        </w:rPr>
        <w:br w:type="page"/>
      </w:r>
      <w:bookmarkEnd w:id="0"/>
      <w:r>
        <w:rPr>
          <w:rFonts w:hint="eastAsia" w:ascii="黑体" w:hAnsi="黑体" w:eastAsia="黑体" w:cs="黑体"/>
          <w:b/>
          <w:bCs/>
          <w:color w:val="000000"/>
          <w:sz w:val="36"/>
          <w:szCs w:val="28"/>
        </w:rPr>
        <w:t>目   录</w:t>
      </w:r>
    </w:p>
    <w:p>
      <w:pPr>
        <w:spacing w:line="360" w:lineRule="auto"/>
        <w:ind w:firstLine="1232" w:firstLineChars="385"/>
        <w:rPr>
          <w:color w:val="000000"/>
          <w:sz w:val="32"/>
          <w:szCs w:val="36"/>
        </w:rPr>
      </w:pPr>
    </w:p>
    <w:p>
      <w:pPr>
        <w:pStyle w:val="45"/>
        <w:tabs>
          <w:tab w:val="right" w:leader="dot" w:pos="9026"/>
        </w:tabs>
        <w:spacing w:line="360" w:lineRule="auto"/>
        <w:rPr>
          <w:sz w:val="24"/>
        </w:rPr>
      </w:pPr>
      <w:bookmarkStart w:id="1" w:name="_Toc16676_WPSOffice_Type1"/>
      <w:r>
        <w:rPr>
          <w:sz w:val="24"/>
        </w:rPr>
        <w:fldChar w:fldCharType="begin"/>
      </w:r>
      <w:r>
        <w:rPr>
          <w:sz w:val="24"/>
        </w:rPr>
        <w:instrText xml:space="preserve"> HYPERLINK \l _Toc10946_WPSOffice_Level1 </w:instrText>
      </w:r>
      <w:r>
        <w:rPr>
          <w:sz w:val="24"/>
        </w:rPr>
        <w:fldChar w:fldCharType="separate"/>
      </w:r>
      <w:r>
        <w:rPr>
          <w:rFonts w:hint="eastAsia"/>
          <w:sz w:val="24"/>
        </w:rPr>
        <w:t>第一章  竞争性谈判邀请书</w:t>
      </w:r>
      <w:r>
        <w:rPr>
          <w:sz w:val="24"/>
        </w:rPr>
        <w:tab/>
      </w:r>
      <w:bookmarkStart w:id="2" w:name="_Toc10946_WPSOffice_Level1Page"/>
      <w:r>
        <w:rPr>
          <w:sz w:val="24"/>
        </w:rPr>
        <w:t>4</w:t>
      </w:r>
      <w:bookmarkEnd w:id="2"/>
      <w:r>
        <w:rPr>
          <w:sz w:val="24"/>
        </w:rPr>
        <w:fldChar w:fldCharType="end"/>
      </w:r>
    </w:p>
    <w:p>
      <w:pPr>
        <w:pStyle w:val="45"/>
        <w:tabs>
          <w:tab w:val="right" w:leader="dot" w:pos="9026"/>
        </w:tabs>
        <w:spacing w:line="360" w:lineRule="auto"/>
        <w:rPr>
          <w:sz w:val="24"/>
        </w:rPr>
      </w:pPr>
      <w:r>
        <w:fldChar w:fldCharType="begin"/>
      </w:r>
      <w:r>
        <w:instrText xml:space="preserve"> HYPERLINK \l "_Toc15799_WPSOffice_Level1" </w:instrText>
      </w:r>
      <w:r>
        <w:fldChar w:fldCharType="separate"/>
      </w:r>
      <w:r>
        <w:rPr>
          <w:rFonts w:hint="eastAsia"/>
          <w:sz w:val="24"/>
        </w:rPr>
        <w:t>第二章  响应单位须知</w:t>
      </w:r>
      <w:r>
        <w:rPr>
          <w:sz w:val="24"/>
        </w:rPr>
        <w:tab/>
      </w:r>
      <w:bookmarkStart w:id="3" w:name="_Toc15799_WPSOffice_Level1Page"/>
      <w:r>
        <w:rPr>
          <w:sz w:val="24"/>
        </w:rPr>
        <w:t>7</w:t>
      </w:r>
      <w:bookmarkEnd w:id="3"/>
      <w:r>
        <w:rPr>
          <w:sz w:val="24"/>
        </w:rPr>
        <w:fldChar w:fldCharType="end"/>
      </w:r>
    </w:p>
    <w:p>
      <w:pPr>
        <w:pStyle w:val="45"/>
        <w:tabs>
          <w:tab w:val="right" w:leader="dot" w:pos="9026"/>
        </w:tabs>
        <w:spacing w:line="360" w:lineRule="auto"/>
        <w:rPr>
          <w:sz w:val="24"/>
        </w:rPr>
      </w:pPr>
      <w:r>
        <w:fldChar w:fldCharType="begin"/>
      </w:r>
      <w:r>
        <w:instrText xml:space="preserve"> HYPERLINK \l "_Toc31820_WPSOffice_Level1" </w:instrText>
      </w:r>
      <w:r>
        <w:fldChar w:fldCharType="separate"/>
      </w:r>
      <w:r>
        <w:rPr>
          <w:rFonts w:hint="eastAsia"/>
          <w:sz w:val="24"/>
        </w:rPr>
        <w:t>第三章  评审办法</w:t>
      </w:r>
      <w:r>
        <w:rPr>
          <w:sz w:val="24"/>
        </w:rPr>
        <w:tab/>
      </w:r>
      <w:bookmarkStart w:id="4" w:name="_Toc31820_WPSOffice_Level1Page"/>
      <w:r>
        <w:rPr>
          <w:sz w:val="24"/>
        </w:rPr>
        <w:t>9</w:t>
      </w:r>
      <w:bookmarkEnd w:id="4"/>
      <w:r>
        <w:rPr>
          <w:sz w:val="24"/>
        </w:rPr>
        <w:fldChar w:fldCharType="end"/>
      </w:r>
    </w:p>
    <w:p>
      <w:pPr>
        <w:pStyle w:val="45"/>
        <w:tabs>
          <w:tab w:val="right" w:leader="dot" w:pos="9026"/>
        </w:tabs>
        <w:spacing w:line="360" w:lineRule="auto"/>
        <w:rPr>
          <w:sz w:val="24"/>
        </w:rPr>
      </w:pPr>
      <w:r>
        <w:fldChar w:fldCharType="begin"/>
      </w:r>
      <w:r>
        <w:instrText xml:space="preserve"> HYPERLINK \l "_Toc742_WPSOffice_Level1" </w:instrText>
      </w:r>
      <w:r>
        <w:fldChar w:fldCharType="separate"/>
      </w:r>
      <w:r>
        <w:rPr>
          <w:rFonts w:hint="eastAsia"/>
          <w:sz w:val="24"/>
        </w:rPr>
        <w:t>第四章  商务要求</w:t>
      </w:r>
      <w:r>
        <w:rPr>
          <w:sz w:val="24"/>
        </w:rPr>
        <w:tab/>
      </w:r>
      <w:bookmarkStart w:id="5" w:name="_Toc742_WPSOffice_Level1Page"/>
      <w:r>
        <w:rPr>
          <w:sz w:val="24"/>
        </w:rPr>
        <w:t>12</w:t>
      </w:r>
      <w:bookmarkEnd w:id="5"/>
      <w:r>
        <w:rPr>
          <w:sz w:val="24"/>
        </w:rPr>
        <w:fldChar w:fldCharType="end"/>
      </w:r>
    </w:p>
    <w:p>
      <w:pPr>
        <w:pStyle w:val="45"/>
        <w:tabs>
          <w:tab w:val="right" w:leader="dot" w:pos="9026"/>
        </w:tabs>
        <w:spacing w:line="360" w:lineRule="auto"/>
        <w:rPr>
          <w:sz w:val="24"/>
        </w:rPr>
      </w:pPr>
      <w:r>
        <w:fldChar w:fldCharType="begin"/>
      </w:r>
      <w:r>
        <w:instrText xml:space="preserve"> HYPERLINK \l "_Toc28157_WPSOffice_Level1" </w:instrText>
      </w:r>
      <w:r>
        <w:fldChar w:fldCharType="separate"/>
      </w:r>
      <w:r>
        <w:rPr>
          <w:rFonts w:hint="eastAsia"/>
          <w:sz w:val="24"/>
        </w:rPr>
        <w:t>第五章  服务要求</w:t>
      </w:r>
      <w:r>
        <w:rPr>
          <w:sz w:val="24"/>
        </w:rPr>
        <w:tab/>
      </w:r>
      <w:bookmarkStart w:id="6" w:name="_Toc28157_WPSOffice_Level1Page"/>
      <w:r>
        <w:rPr>
          <w:sz w:val="24"/>
        </w:rPr>
        <w:t>1</w:t>
      </w:r>
      <w:bookmarkEnd w:id="6"/>
      <w:r>
        <w:rPr>
          <w:rFonts w:hint="eastAsia"/>
          <w:sz w:val="24"/>
        </w:rPr>
        <w:t>4</w:t>
      </w:r>
      <w:r>
        <w:rPr>
          <w:rFonts w:hint="eastAsia"/>
          <w:sz w:val="24"/>
        </w:rPr>
        <w:fldChar w:fldCharType="end"/>
      </w:r>
    </w:p>
    <w:p>
      <w:pPr>
        <w:pStyle w:val="45"/>
        <w:tabs>
          <w:tab w:val="right" w:leader="dot" w:pos="9026"/>
        </w:tabs>
        <w:spacing w:line="360" w:lineRule="auto"/>
        <w:rPr>
          <w:sz w:val="24"/>
        </w:rPr>
      </w:pPr>
      <w:r>
        <w:fldChar w:fldCharType="begin"/>
      </w:r>
      <w:r>
        <w:instrText xml:space="preserve"> HYPERLINK \l "_Toc7733_WPSOffice_Level1" </w:instrText>
      </w:r>
      <w:r>
        <w:fldChar w:fldCharType="separate"/>
      </w:r>
      <w:r>
        <w:rPr>
          <w:rFonts w:hint="eastAsia"/>
          <w:sz w:val="24"/>
        </w:rPr>
        <w:t>第六章  附件</w:t>
      </w:r>
      <w:r>
        <w:rPr>
          <w:sz w:val="24"/>
        </w:rPr>
        <w:tab/>
      </w:r>
      <w:bookmarkStart w:id="7" w:name="_Toc7733_WPSOffice_Level1Page"/>
      <w:r>
        <w:rPr>
          <w:sz w:val="24"/>
        </w:rPr>
        <w:t>1</w:t>
      </w:r>
      <w:bookmarkEnd w:id="7"/>
      <w:r>
        <w:rPr>
          <w:rFonts w:hint="eastAsia"/>
          <w:sz w:val="24"/>
        </w:rPr>
        <w:t>5</w:t>
      </w:r>
      <w:r>
        <w:rPr>
          <w:rFonts w:hint="eastAsia"/>
          <w:sz w:val="24"/>
        </w:rPr>
        <w:fldChar w:fldCharType="end"/>
      </w:r>
      <w:bookmarkEnd w:id="1"/>
    </w:p>
    <w:p>
      <w:pPr>
        <w:pStyle w:val="45"/>
        <w:tabs>
          <w:tab w:val="right" w:leader="dot" w:pos="9026"/>
        </w:tabs>
        <w:spacing w:line="360" w:lineRule="auto"/>
        <w:rPr>
          <w:sz w:val="24"/>
        </w:rPr>
      </w:pPr>
    </w:p>
    <w:p>
      <w:pPr>
        <w:pStyle w:val="45"/>
        <w:tabs>
          <w:tab w:val="right" w:leader="dot" w:pos="9026"/>
        </w:tabs>
        <w:spacing w:line="360" w:lineRule="auto"/>
        <w:rPr>
          <w:sz w:val="24"/>
        </w:rPr>
      </w:pPr>
    </w:p>
    <w:p>
      <w:pPr>
        <w:pStyle w:val="45"/>
        <w:tabs>
          <w:tab w:val="right" w:leader="dot" w:pos="9026"/>
        </w:tabs>
        <w:spacing w:line="360" w:lineRule="auto"/>
        <w:rPr>
          <w:sz w:val="24"/>
        </w:rPr>
      </w:pPr>
    </w:p>
    <w:p>
      <w:pPr>
        <w:pStyle w:val="45"/>
        <w:tabs>
          <w:tab w:val="right" w:leader="dot" w:pos="9026"/>
        </w:tabs>
        <w:spacing w:line="360" w:lineRule="auto"/>
        <w:rPr>
          <w:sz w:val="24"/>
        </w:rPr>
      </w:pPr>
    </w:p>
    <w:p>
      <w:pPr>
        <w:pStyle w:val="45"/>
        <w:tabs>
          <w:tab w:val="right" w:leader="dot" w:pos="9026"/>
        </w:tabs>
        <w:spacing w:line="360" w:lineRule="auto"/>
        <w:rPr>
          <w:sz w:val="24"/>
        </w:rPr>
      </w:pPr>
    </w:p>
    <w:p>
      <w:pPr>
        <w:pStyle w:val="45"/>
        <w:tabs>
          <w:tab w:val="right" w:leader="dot" w:pos="9026"/>
        </w:tabs>
        <w:spacing w:line="360" w:lineRule="auto"/>
        <w:rPr>
          <w:sz w:val="24"/>
        </w:rPr>
        <w:sectPr>
          <w:headerReference r:id="rId3" w:type="default"/>
          <w:footerReference r:id="rId4" w:type="default"/>
          <w:pgSz w:w="11906" w:h="16838"/>
          <w:pgMar w:top="1803" w:right="1440" w:bottom="1803" w:left="1440" w:header="851" w:footer="992" w:gutter="0"/>
          <w:pgNumType w:start="1"/>
          <w:cols w:space="720" w:num="1"/>
          <w:docGrid w:linePitch="315" w:charSpace="0"/>
        </w:sectPr>
      </w:pPr>
    </w:p>
    <w:p>
      <w:pPr>
        <w:widowControl/>
        <w:snapToGrid w:val="0"/>
        <w:spacing w:line="400" w:lineRule="atLeast"/>
        <w:ind w:left="28" w:hanging="28"/>
        <w:jc w:val="center"/>
        <w:outlineLvl w:val="0"/>
        <w:rPr>
          <w:rFonts w:ascii="方正小标宋简体" w:hAnsi="方正小标宋简体" w:eastAsia="方正小标宋简体" w:cs="方正小标宋简体"/>
          <w:b/>
          <w:bCs/>
          <w:color w:val="000000"/>
          <w:sz w:val="36"/>
        </w:rPr>
      </w:pPr>
      <w:bookmarkStart w:id="8" w:name="_Toc10946_WPSOffice_Level1"/>
      <w:bookmarkStart w:id="9" w:name="_Hlk13586256"/>
      <w:bookmarkStart w:id="10" w:name="_Hlk39648029"/>
      <w:r>
        <w:rPr>
          <w:rFonts w:hint="eastAsia" w:ascii="方正小标宋简体" w:hAnsi="方正小标宋简体" w:eastAsia="方正小标宋简体" w:cs="方正小标宋简体"/>
          <w:b/>
          <w:bCs/>
          <w:color w:val="000000"/>
          <w:sz w:val="36"/>
        </w:rPr>
        <w:t>第一章  竞争性谈判邀请</w:t>
      </w:r>
      <w:bookmarkEnd w:id="8"/>
      <w:r>
        <w:rPr>
          <w:rFonts w:hint="eastAsia" w:ascii="方正小标宋简体" w:hAnsi="方正小标宋简体" w:eastAsia="方正小标宋简体" w:cs="方正小标宋简体"/>
          <w:b/>
          <w:bCs/>
          <w:color w:val="000000"/>
          <w:sz w:val="36"/>
        </w:rPr>
        <w:t>书</w:t>
      </w:r>
    </w:p>
    <w:p>
      <w:pPr>
        <w:autoSpaceDE w:val="0"/>
        <w:autoSpaceDN w:val="0"/>
        <w:adjustRightInd w:val="0"/>
        <w:spacing w:line="360" w:lineRule="auto"/>
        <w:ind w:firstLine="560" w:firstLineChars="200"/>
        <w:jc w:val="left"/>
        <w:rPr>
          <w:rFonts w:ascii="宋体" w:hAnsi="宋体"/>
          <w:sz w:val="28"/>
          <w:szCs w:val="28"/>
        </w:rPr>
      </w:pPr>
      <w:r>
        <w:rPr>
          <w:rFonts w:hint="eastAsia" w:ascii="宋体" w:hAnsi="宋体"/>
          <w:sz w:val="28"/>
          <w:szCs w:val="28"/>
        </w:rPr>
        <w:t>上海飞机客户服务有限公司诚邀贵单位参加我单位</w:t>
      </w:r>
      <w:r>
        <w:rPr>
          <w:rFonts w:hint="eastAsia" w:ascii="宋体" w:hAnsi="宋体"/>
          <w:sz w:val="28"/>
          <w:szCs w:val="28"/>
          <w:u w:val="single"/>
        </w:rPr>
        <w:t>上海飞机客户服务有限公司桌面终端及备品备件运维服务项目</w:t>
      </w:r>
      <w:r>
        <w:rPr>
          <w:rFonts w:hint="eastAsia" w:ascii="宋体" w:hAnsi="宋体"/>
          <w:sz w:val="28"/>
          <w:szCs w:val="28"/>
        </w:rPr>
        <w:t>的采购，项目具体情况如下：</w:t>
      </w:r>
    </w:p>
    <w:tbl>
      <w:tblPr>
        <w:tblStyle w:val="34"/>
        <w:tblW w:w="9796"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87"/>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序号</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内容</w:t>
            </w:r>
          </w:p>
        </w:tc>
        <w:tc>
          <w:tcPr>
            <w:tcW w:w="6843" w:type="dxa"/>
            <w:vAlign w:val="center"/>
          </w:tcPr>
          <w:p>
            <w:pPr>
              <w:autoSpaceDE w:val="0"/>
              <w:autoSpaceDN w:val="0"/>
              <w:adjustRightInd w:val="0"/>
              <w:snapToGrid w:val="0"/>
              <w:jc w:val="center"/>
              <w:rPr>
                <w:rFonts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autoSpaceDE w:val="0"/>
              <w:autoSpaceDN w:val="0"/>
              <w:adjustRightInd w:val="0"/>
              <w:jc w:val="center"/>
              <w:rPr>
                <w:rFonts w:ascii="宋体" w:hAnsi="宋体"/>
                <w:b/>
                <w:bCs/>
                <w:sz w:val="24"/>
              </w:rPr>
            </w:pPr>
            <w:r>
              <w:rPr>
                <w:rFonts w:hint="eastAsia" w:ascii="宋体" w:hAnsi="宋体"/>
                <w:b/>
                <w:bCs/>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1.1</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服务名称</w:t>
            </w:r>
          </w:p>
        </w:tc>
        <w:tc>
          <w:tcPr>
            <w:tcW w:w="6843" w:type="dxa"/>
            <w:vAlign w:val="center"/>
          </w:tcPr>
          <w:p>
            <w:pPr>
              <w:autoSpaceDE w:val="0"/>
              <w:autoSpaceDN w:val="0"/>
              <w:adjustRightInd w:val="0"/>
              <w:jc w:val="center"/>
              <w:rPr>
                <w:rFonts w:ascii="宋体" w:hAnsi="宋体"/>
                <w:sz w:val="24"/>
              </w:rPr>
            </w:pPr>
            <w:r>
              <w:rPr>
                <w:rFonts w:hint="eastAsia" w:ascii="宋体" w:hAnsi="宋体"/>
                <w:sz w:val="24"/>
              </w:rPr>
              <w:t>上海飞机客户服务有限公司</w:t>
            </w:r>
            <w:r>
              <w:rPr>
                <w:rFonts w:hint="eastAsia" w:ascii="仿宋_GB2312"/>
                <w:sz w:val="24"/>
              </w:rPr>
              <w:t>桌面终端及备品备件运维服务</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1.2</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服务概况</w:t>
            </w:r>
          </w:p>
        </w:tc>
        <w:tc>
          <w:tcPr>
            <w:tcW w:w="6843" w:type="dxa"/>
            <w:vAlign w:val="center"/>
          </w:tcPr>
          <w:p>
            <w:pPr>
              <w:autoSpaceDE w:val="0"/>
              <w:autoSpaceDN w:val="0"/>
              <w:adjustRightInd w:val="0"/>
              <w:jc w:val="left"/>
              <w:rPr>
                <w:rFonts w:ascii="宋体" w:hAnsi="宋体"/>
                <w:sz w:val="24"/>
              </w:rPr>
            </w:pPr>
            <w:r>
              <w:rPr>
                <w:rFonts w:hint="eastAsia" w:ascii="宋体" w:hAnsi="宋体"/>
                <w:sz w:val="24"/>
              </w:rPr>
              <w:t>本项目包含了上海飞机客户服务有限公司（上海闵行区江川东路100号）及各分公司、办事处、外场保障现场，包括并不限于嘉兴、乌鲁木齐、成都、呼和浩特、南昌、广州、重庆、北京等地。</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1.3</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服务期限</w:t>
            </w:r>
          </w:p>
        </w:tc>
        <w:tc>
          <w:tcPr>
            <w:tcW w:w="6843" w:type="dxa"/>
            <w:vAlign w:val="center"/>
          </w:tcPr>
          <w:p>
            <w:pPr>
              <w:autoSpaceDE w:val="0"/>
              <w:autoSpaceDN w:val="0"/>
              <w:adjustRightInd w:val="0"/>
              <w:spacing w:line="360" w:lineRule="auto"/>
              <w:ind w:left="224" w:leftChars="104" w:hanging="6"/>
              <w:jc w:val="left"/>
              <w:rPr>
                <w:rFonts w:ascii="宋体" w:hAnsi="宋体" w:eastAsia="仿宋"/>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月前</w:t>
            </w:r>
          </w:p>
          <w:p>
            <w:pPr>
              <w:autoSpaceDE w:val="0"/>
              <w:autoSpaceDN w:val="0"/>
              <w:adjustRightInd w:val="0"/>
              <w:ind w:left="224" w:leftChars="104" w:hanging="6"/>
              <w:jc w:val="left"/>
              <w:rPr>
                <w:rFonts w:ascii="宋体" w:hAnsi="宋体"/>
                <w:sz w:val="24"/>
              </w:rPr>
            </w:pPr>
            <w:r>
              <w:rPr>
                <w:rFonts w:hint="eastAsia" w:ascii="宋体" w:hAnsi="宋体"/>
                <w:sz w:val="24"/>
              </w:rPr>
              <w:t>☑其他:合同生效后</w:t>
            </w:r>
            <w:r>
              <w:rPr>
                <w:rFonts w:hint="eastAsia" w:ascii="宋体" w:hAnsi="宋体"/>
                <w:b/>
                <w:bCs/>
                <w:sz w:val="24"/>
              </w:rPr>
              <w:t>2</w:t>
            </w:r>
            <w:r>
              <w:rPr>
                <w:rFonts w:hint="eastAsia" w:ascii="宋体" w:hAnsi="宋体"/>
                <w:sz w:val="24"/>
              </w:rPr>
              <w:t>年</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autoSpaceDE w:val="0"/>
              <w:autoSpaceDN w:val="0"/>
              <w:adjustRightInd w:val="0"/>
              <w:ind w:left="224" w:leftChars="104" w:hanging="6"/>
              <w:jc w:val="center"/>
              <w:rPr>
                <w:rFonts w:ascii="宋体" w:hAnsi="宋体"/>
                <w:b/>
                <w:bCs/>
                <w:sz w:val="24"/>
              </w:rPr>
            </w:pPr>
            <w:r>
              <w:rPr>
                <w:rFonts w:hint="eastAsia" w:ascii="宋体" w:hAnsi="宋体"/>
                <w:b/>
                <w:bCs/>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2.1</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询问方式</w:t>
            </w:r>
          </w:p>
        </w:tc>
        <w:tc>
          <w:tcPr>
            <w:tcW w:w="6843" w:type="dxa"/>
            <w:vAlign w:val="center"/>
          </w:tcPr>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电话询问</w:t>
            </w:r>
          </w:p>
          <w:p>
            <w:pPr>
              <w:autoSpaceDE w:val="0"/>
              <w:autoSpaceDN w:val="0"/>
              <w:adjustRightInd w:val="0"/>
              <w:spacing w:line="360" w:lineRule="auto"/>
              <w:ind w:left="224" w:leftChars="104" w:hanging="6"/>
              <w:jc w:val="left"/>
              <w:rPr>
                <w:rFonts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邮件询问</w:t>
            </w:r>
          </w:p>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其他：_______________________________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2.2</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询问联系方式</w:t>
            </w:r>
          </w:p>
        </w:tc>
        <w:tc>
          <w:tcPr>
            <w:tcW w:w="6843" w:type="dxa"/>
            <w:vAlign w:val="center"/>
          </w:tcPr>
          <w:p>
            <w:pPr>
              <w:autoSpaceDE w:val="0"/>
              <w:autoSpaceDN w:val="0"/>
              <w:adjustRightInd w:val="0"/>
              <w:spacing w:after="120" w:afterLines="50"/>
              <w:ind w:left="224" w:leftChars="104" w:hanging="6"/>
              <w:jc w:val="left"/>
              <w:rPr>
                <w:rFonts w:ascii="宋体" w:hAnsi="宋体" w:cs="宋体"/>
                <w:sz w:val="24"/>
              </w:rPr>
            </w:pPr>
            <w:r>
              <w:rPr>
                <w:rFonts w:hint="eastAsia" w:ascii="宋体" w:hAnsi="宋体" w:cs="宋体"/>
                <w:sz w:val="24"/>
                <w:lang w:bidi="ar"/>
              </w:rPr>
              <w:t xml:space="preserve">联系人： </w:t>
            </w:r>
            <w:r>
              <w:rPr>
                <w:rFonts w:hint="eastAsia" w:ascii="宋体" w:hAnsi="宋体" w:cs="宋体"/>
                <w:sz w:val="24"/>
                <w:u w:val="single"/>
                <w:lang w:bidi="ar"/>
              </w:rPr>
              <w:t xml:space="preserve"> 朱虹</w:t>
            </w:r>
            <w:r>
              <w:rPr>
                <w:rFonts w:hint="eastAsia" w:ascii="宋体" w:hAnsi="宋体" w:cs="宋体"/>
                <w:sz w:val="24"/>
                <w:lang w:bidi="ar"/>
              </w:rPr>
              <w:t xml:space="preserve"> </w:t>
            </w:r>
          </w:p>
          <w:p>
            <w:pPr>
              <w:autoSpaceDE w:val="0"/>
              <w:autoSpaceDN w:val="0"/>
              <w:adjustRightInd w:val="0"/>
              <w:spacing w:after="120" w:afterLines="50"/>
              <w:ind w:left="224" w:leftChars="104" w:hanging="6"/>
              <w:jc w:val="left"/>
              <w:rPr>
                <w:rFonts w:ascii="宋体" w:hAnsi="宋体" w:cs="宋体"/>
                <w:sz w:val="24"/>
              </w:rPr>
            </w:pPr>
            <w:r>
              <w:rPr>
                <w:rFonts w:hint="eastAsia" w:ascii="宋体" w:hAnsi="宋体" w:cs="宋体"/>
                <w:sz w:val="24"/>
                <w:lang w:bidi="ar"/>
              </w:rPr>
              <w:t>联系电话：</w:t>
            </w:r>
            <w:r>
              <w:rPr>
                <w:rFonts w:hint="eastAsia" w:ascii="宋体" w:hAnsi="宋体" w:cs="宋体"/>
                <w:sz w:val="24"/>
                <w:u w:val="single"/>
                <w:lang w:bidi="ar"/>
              </w:rPr>
              <w:t>18019195439</w:t>
            </w:r>
          </w:p>
          <w:p>
            <w:pPr>
              <w:autoSpaceDE w:val="0"/>
              <w:autoSpaceDN w:val="0"/>
              <w:adjustRightInd w:val="0"/>
              <w:spacing w:after="120" w:afterLines="50"/>
              <w:ind w:left="224" w:leftChars="104" w:hanging="6"/>
              <w:jc w:val="left"/>
              <w:rPr>
                <w:rFonts w:ascii="宋体" w:hAnsi="宋体" w:cs="宋体"/>
                <w:sz w:val="24"/>
                <w:u w:val="single"/>
              </w:rPr>
            </w:pPr>
            <w:r>
              <w:rPr>
                <w:rFonts w:hint="eastAsia" w:ascii="宋体" w:hAnsi="宋体" w:cs="宋体"/>
                <w:sz w:val="24"/>
                <w:lang w:bidi="ar"/>
              </w:rPr>
              <w:t>联系地址：</w:t>
            </w:r>
            <w:r>
              <w:rPr>
                <w:rFonts w:hint="eastAsia" w:ascii="宋体" w:hAnsi="宋体" w:cs="宋体"/>
                <w:sz w:val="24"/>
                <w:u w:val="single"/>
                <w:lang w:bidi="ar"/>
              </w:rPr>
              <w:t xml:space="preserve">上海市江川东路100号 </w:t>
            </w:r>
          </w:p>
          <w:p>
            <w:pPr>
              <w:autoSpaceDE w:val="0"/>
              <w:autoSpaceDN w:val="0"/>
              <w:adjustRightInd w:val="0"/>
              <w:ind w:left="224" w:leftChars="104" w:hanging="6"/>
              <w:jc w:val="left"/>
              <w:rPr>
                <w:rFonts w:ascii="宋体" w:hAnsi="宋体"/>
                <w:sz w:val="24"/>
              </w:rPr>
            </w:pPr>
            <w:r>
              <w:rPr>
                <w:rFonts w:hint="eastAsia" w:ascii="宋体" w:hAnsi="宋体"/>
                <w:sz w:val="24"/>
                <w:lang w:bidi="ar"/>
              </w:rPr>
              <w:t>联系邮箱：</w:t>
            </w:r>
            <w:r>
              <w:rPr>
                <w:rFonts w:hint="eastAsia" w:ascii="宋体" w:hAnsi="宋体"/>
                <w:sz w:val="24"/>
                <w:u w:val="single"/>
                <w:lang w:bidi="ar"/>
              </w:rPr>
              <w:t>zhuhong3@comac.cc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autoSpaceDE w:val="0"/>
              <w:autoSpaceDN w:val="0"/>
              <w:adjustRightInd w:val="0"/>
              <w:jc w:val="center"/>
              <w:rPr>
                <w:rFonts w:ascii="宋体" w:hAnsi="宋体"/>
                <w:b/>
                <w:bCs/>
                <w:sz w:val="24"/>
              </w:rPr>
            </w:pPr>
            <w:r>
              <w:rPr>
                <w:rFonts w:hint="eastAsia" w:ascii="宋体" w:hAnsi="宋体"/>
                <w:b/>
                <w:bCs/>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3.1</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响应文件提交方式</w:t>
            </w:r>
          </w:p>
        </w:tc>
        <w:tc>
          <w:tcPr>
            <w:tcW w:w="6843" w:type="dxa"/>
            <w:vAlign w:val="center"/>
          </w:tcPr>
          <w:p>
            <w:pPr>
              <w:autoSpaceDE w:val="0"/>
              <w:autoSpaceDN w:val="0"/>
              <w:adjustRightInd w:val="0"/>
              <w:spacing w:line="360" w:lineRule="auto"/>
              <w:ind w:firstLine="249" w:firstLineChars="104"/>
              <w:jc w:val="left"/>
              <w:rPr>
                <w:rFonts w:ascii="宋体" w:hAnsi="宋体"/>
                <w:sz w:val="24"/>
                <w:u w:val="single"/>
              </w:rPr>
            </w:pPr>
            <w:r>
              <w:rPr>
                <w:rFonts w:hint="eastAsia" w:ascii="宋体" w:hAnsi="宋体"/>
                <w:sz w:val="24"/>
              </w:rPr>
              <w:t>联系人：</w:t>
            </w:r>
            <w:r>
              <w:rPr>
                <w:rFonts w:hint="eastAsia" w:ascii="宋体" w:hAnsi="宋体"/>
                <w:sz w:val="24"/>
                <w:u w:val="single"/>
              </w:rPr>
              <w:t>朱虹</w:t>
            </w:r>
            <w:r>
              <w:rPr>
                <w:rFonts w:hint="eastAsia" w:ascii="宋体" w:hAnsi="宋体"/>
                <w:sz w:val="24"/>
              </w:rPr>
              <w:t xml:space="preserve">   联系方式：</w:t>
            </w:r>
            <w:r>
              <w:rPr>
                <w:rFonts w:hint="eastAsia" w:ascii="宋体" w:hAnsi="宋体"/>
                <w:sz w:val="24"/>
                <w:u w:val="single"/>
              </w:rPr>
              <w:t>18019195439</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☑纸质邮寄/现场送达至：</w:t>
            </w:r>
            <w:r>
              <w:rPr>
                <w:rFonts w:hint="eastAsia" w:ascii="宋体" w:hAnsi="宋体"/>
                <w:sz w:val="24"/>
                <w:u w:val="single"/>
              </w:rPr>
              <w:t>上海市闵行区江川东路100号 采购与供应商管理部</w:t>
            </w:r>
          </w:p>
          <w:p>
            <w:pPr>
              <w:autoSpaceDE w:val="0"/>
              <w:autoSpaceDN w:val="0"/>
              <w:adjustRightInd w:val="0"/>
              <w:spacing w:line="360" w:lineRule="auto"/>
              <w:ind w:firstLine="249" w:firstLineChars="104"/>
              <w:jc w:val="left"/>
              <w:rPr>
                <w:rFonts w:ascii="宋体" w:hAnsi="宋体" w:cs="宋体"/>
                <w:sz w:val="24"/>
              </w:rPr>
            </w:pPr>
            <w:r>
              <w:rPr>
                <w:rFonts w:hint="eastAsia" w:ascii="宋体" w:hAnsi="宋体"/>
                <w:sz w:val="24"/>
              </w:rPr>
              <w:t>☑电子提交至：</w:t>
            </w:r>
            <w:r>
              <w:rPr>
                <w:rFonts w:hint="eastAsia" w:cs="宋体"/>
                <w:sz w:val="24"/>
                <w:u w:val="single"/>
                <w:lang w:bidi="ar"/>
              </w:rPr>
              <w:t>电子版（</w:t>
            </w:r>
            <w:r>
              <w:rPr>
                <w:sz w:val="24"/>
                <w:u w:val="single"/>
                <w:lang w:bidi="ar"/>
              </w:rPr>
              <w:t>U</w:t>
            </w:r>
            <w:r>
              <w:rPr>
                <w:rFonts w:hint="eastAsia" w:cs="宋体"/>
                <w:sz w:val="24"/>
                <w:u w:val="single"/>
                <w:lang w:bidi="ar"/>
              </w:rPr>
              <w:t>盘封装）同纸质文件一起寄至</w:t>
            </w:r>
            <w:r>
              <w:rPr>
                <w:rFonts w:hint="eastAsia" w:ascii="宋体" w:hAnsi="宋体" w:cs="宋体"/>
                <w:sz w:val="24"/>
                <w:u w:val="single"/>
                <w:lang w:bidi="ar"/>
              </w:rPr>
              <w:t>上海市闵行区江川东路100号 采购与供应商管理部</w:t>
            </w:r>
          </w:p>
          <w:p>
            <w:pPr>
              <w:autoSpaceDE w:val="0"/>
              <w:autoSpaceDN w:val="0"/>
              <w:adjustRightInd w:val="0"/>
              <w:ind w:firstLine="249" w:firstLineChars="104"/>
              <w:jc w:val="left"/>
              <w:rPr>
                <w:rFonts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3.2</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响应文件应</w:t>
            </w:r>
          </w:p>
          <w:p>
            <w:pPr>
              <w:autoSpaceDE w:val="0"/>
              <w:autoSpaceDN w:val="0"/>
              <w:adjustRightInd w:val="0"/>
              <w:jc w:val="center"/>
              <w:rPr>
                <w:rFonts w:ascii="宋体" w:hAnsi="宋体"/>
                <w:sz w:val="24"/>
              </w:rPr>
            </w:pPr>
            <w:r>
              <w:rPr>
                <w:rFonts w:hint="eastAsia" w:ascii="宋体" w:hAnsi="宋体"/>
                <w:sz w:val="24"/>
              </w:rPr>
              <w:t>包含文件</w:t>
            </w:r>
          </w:p>
        </w:tc>
        <w:tc>
          <w:tcPr>
            <w:tcW w:w="6843" w:type="dxa"/>
            <w:vAlign w:val="center"/>
          </w:tcPr>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w:t>
            </w:r>
            <w:r>
              <w:rPr>
                <w:rFonts w:hint="eastAsia"/>
                <w:sz w:val="24"/>
              </w:rPr>
              <w:t xml:space="preserve">竞争性谈判响应声明    </w:t>
            </w:r>
            <w:r>
              <w:rPr>
                <w:rFonts w:hint="eastAsia" w:ascii="宋体" w:hAnsi="宋体"/>
                <w:sz w:val="24"/>
              </w:rPr>
              <w:t>☑报价一览表   ☑分项报价表</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☑商务要求响应表        ☑技术要求响应表</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☑法定代表人声明        ☑法定代表人身份证复印件</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☑法定代表人授权委托书（如有）□ 质量体系认证证书</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☑授权代表人身份证复印件</w:t>
            </w:r>
          </w:p>
          <w:p>
            <w:pPr>
              <w:autoSpaceDE w:val="0"/>
              <w:autoSpaceDN w:val="0"/>
              <w:adjustRightInd w:val="0"/>
              <w:ind w:firstLine="249" w:firstLineChars="104"/>
              <w:jc w:val="left"/>
              <w:rPr>
                <w:rFonts w:ascii="宋体" w:hAnsi="宋体"/>
                <w:sz w:val="24"/>
              </w:rPr>
            </w:pPr>
            <w:r>
              <w:rPr>
                <w:rFonts w:hint="eastAsia" w:ascii="宋体" w:hAnsi="宋体"/>
                <w:sz w:val="24"/>
              </w:rPr>
              <w:t xml:space="preserve">☑廉洁协议     □其他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3.3</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响应文件盖章要求</w:t>
            </w:r>
          </w:p>
        </w:tc>
        <w:tc>
          <w:tcPr>
            <w:tcW w:w="6843" w:type="dxa"/>
            <w:vAlign w:val="center"/>
          </w:tcPr>
          <w:p>
            <w:pPr>
              <w:autoSpaceDE w:val="0"/>
              <w:autoSpaceDN w:val="0"/>
              <w:adjustRightInd w:val="0"/>
              <w:spacing w:before="120" w:beforeLines="50" w:line="360" w:lineRule="auto"/>
              <w:rPr>
                <w:rFonts w:ascii="宋体" w:hAnsi="宋体"/>
                <w:sz w:val="24"/>
              </w:rPr>
            </w:pPr>
            <w:r>
              <w:rPr>
                <w:rFonts w:hint="eastAsia" w:ascii="宋体" w:hAnsi="宋体"/>
                <w:sz w:val="24"/>
              </w:rPr>
              <w:t>响应文件中的以下内容应加盖公章：</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xml:space="preserve">☑ 响应文件（骑缝章）   ☑ 营业执照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xml:space="preserve">□ 近三年财务报表       □ 业绩证明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xml:space="preserve">□ 质量体系认证证书     ☑ 报价一览表  □ 分项报价表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xml:space="preserve">☑ </w:t>
            </w:r>
            <w:r>
              <w:rPr>
                <w:rFonts w:hint="eastAsia"/>
                <w:sz w:val="24"/>
              </w:rPr>
              <w:t>竞争性谈判响应声明</w:t>
            </w:r>
            <w:r>
              <w:rPr>
                <w:rFonts w:hint="eastAsia" w:ascii="宋体" w:hAnsi="宋体"/>
                <w:sz w:val="24"/>
              </w:rPr>
              <w:t xml:space="preserve">   ☑ 法定代表人声明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法定代表人授权委托书（如有）</w:t>
            </w:r>
          </w:p>
          <w:p>
            <w:pPr>
              <w:autoSpaceDE w:val="0"/>
              <w:autoSpaceDN w:val="0"/>
              <w:adjustRightInd w:val="0"/>
              <w:ind w:firstLine="240" w:firstLineChars="100"/>
              <w:jc w:val="left"/>
              <w:rPr>
                <w:rFonts w:ascii="宋体" w:hAnsi="宋体"/>
                <w:b/>
                <w:bCs/>
                <w:sz w:val="24"/>
                <w:u w:val="single"/>
              </w:rPr>
            </w:pPr>
            <w:r>
              <w:rPr>
                <w:rFonts w:hint="eastAsia" w:ascii="宋体" w:hAnsi="宋体"/>
                <w:sz w:val="24"/>
              </w:rPr>
              <w:t xml:space="preserve">□其他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3.3</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截止时间</w:t>
            </w:r>
          </w:p>
        </w:tc>
        <w:tc>
          <w:tcPr>
            <w:tcW w:w="6843" w:type="dxa"/>
            <w:vAlign w:val="center"/>
          </w:tcPr>
          <w:p>
            <w:pPr>
              <w:autoSpaceDE w:val="0"/>
              <w:autoSpaceDN w:val="0"/>
              <w:adjustRightInd w:val="0"/>
              <w:jc w:val="center"/>
              <w:rPr>
                <w:rFonts w:ascii="宋体" w:hAnsi="宋体"/>
                <w:sz w:val="24"/>
              </w:rPr>
            </w:pPr>
            <w:r>
              <w:rPr>
                <w:rFonts w:hint="eastAsia" w:ascii="宋体" w:hAnsi="宋体"/>
                <w:b/>
                <w:bCs/>
                <w:sz w:val="24"/>
              </w:rPr>
              <w:t>2024年11月</w:t>
            </w:r>
            <w:r>
              <w:rPr>
                <w:rFonts w:hint="eastAsia" w:ascii="宋体" w:hAnsi="宋体"/>
                <w:b/>
                <w:bCs/>
                <w:sz w:val="24"/>
                <w:lang w:val="en-US" w:eastAsia="zh-CN"/>
              </w:rPr>
              <w:t>25</w:t>
            </w:r>
            <w:r>
              <w:rPr>
                <w:rFonts w:hint="eastAsia" w:ascii="宋体" w:hAnsi="宋体"/>
                <w:b/>
                <w:bCs/>
                <w:sz w:val="24"/>
              </w:rPr>
              <w:t>日17:00点</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3.4</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响应文件数量</w:t>
            </w:r>
          </w:p>
        </w:tc>
        <w:tc>
          <w:tcPr>
            <w:tcW w:w="6843" w:type="dxa"/>
            <w:vAlign w:val="center"/>
          </w:tcPr>
          <w:p>
            <w:pPr>
              <w:autoSpaceDE w:val="0"/>
              <w:autoSpaceDN w:val="0"/>
              <w:adjustRightInd w:val="0"/>
              <w:jc w:val="center"/>
            </w:pPr>
            <w:r>
              <w:rPr>
                <w:rFonts w:hint="eastAsia"/>
              </w:rPr>
              <w:t>需密封：</w:t>
            </w:r>
            <w:r>
              <w:t>正本</w:t>
            </w:r>
            <w:r>
              <w:rPr>
                <w:rFonts w:hint="eastAsia"/>
              </w:rPr>
              <w:t xml:space="preserve"> 1 份、副</w:t>
            </w:r>
            <w:r>
              <w:t>本</w:t>
            </w:r>
            <w:r>
              <w:rPr>
                <w:rFonts w:hint="eastAsia"/>
              </w:rPr>
              <w:t xml:space="preserve"> 0 份</w:t>
            </w:r>
            <w:r>
              <w:t>，电子版（</w:t>
            </w:r>
            <w:r>
              <w:rPr>
                <w:rFonts w:hint="eastAsia"/>
              </w:rPr>
              <w:t>U盘或光</w:t>
            </w:r>
            <w:r>
              <w:t>盘）</w:t>
            </w:r>
            <w:r>
              <w:rPr>
                <w:rFonts w:hint="eastAsia"/>
              </w:rPr>
              <w:t>1 份</w:t>
            </w:r>
          </w:p>
          <w:p>
            <w:pPr>
              <w:autoSpaceDE w:val="0"/>
              <w:autoSpaceDN w:val="0"/>
              <w:adjustRightInd w:val="0"/>
              <w:jc w:val="center"/>
            </w:pPr>
            <w:r>
              <w:rPr>
                <w:rFonts w:hint="eastAsia"/>
              </w:rPr>
              <w:t>(备注：所有文件装订成1册，电子版文件集成1个盖章版PDF文件）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3.5</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响应文件有效期</w:t>
            </w:r>
          </w:p>
        </w:tc>
        <w:tc>
          <w:tcPr>
            <w:tcW w:w="6843" w:type="dxa"/>
            <w:vAlign w:val="center"/>
          </w:tcPr>
          <w:p>
            <w:pPr>
              <w:autoSpaceDE w:val="0"/>
              <w:autoSpaceDN w:val="0"/>
              <w:adjustRightInd w:val="0"/>
              <w:ind w:firstLine="249" w:firstLineChars="104"/>
              <w:jc w:val="center"/>
              <w:rPr>
                <w:rFonts w:ascii="宋体" w:hAnsi="宋体"/>
                <w:sz w:val="24"/>
              </w:rPr>
            </w:pPr>
            <w:r>
              <w:rPr>
                <w:rFonts w:hint="eastAsia" w:ascii="宋体" w:hAnsi="宋体"/>
                <w:sz w:val="24"/>
              </w:rPr>
              <w:t>自递交响应文件之日起</w:t>
            </w:r>
            <w:r>
              <w:rPr>
                <w:rFonts w:hint="eastAsia" w:ascii="宋体" w:hAnsi="宋体"/>
                <w:sz w:val="24"/>
                <w:u w:val="single"/>
              </w:rPr>
              <w:t xml:space="preserve"> 180 </w:t>
            </w:r>
            <w:r>
              <w:rPr>
                <w:rFonts w:hint="eastAsia" w:ascii="宋体" w:hAnsi="宋体"/>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796" w:type="dxa"/>
            <w:gridSpan w:val="3"/>
            <w:vAlign w:val="center"/>
          </w:tcPr>
          <w:p>
            <w:pPr>
              <w:autoSpaceDE w:val="0"/>
              <w:autoSpaceDN w:val="0"/>
              <w:adjustRightInd w:val="0"/>
              <w:ind w:firstLine="251" w:firstLineChars="104"/>
              <w:jc w:val="center"/>
              <w:rPr>
                <w:rFonts w:ascii="宋体" w:hAnsi="宋体"/>
                <w:sz w:val="24"/>
              </w:rPr>
            </w:pPr>
            <w:r>
              <w:rPr>
                <w:rFonts w:hint="eastAsia" w:ascii="宋体" w:hAnsi="宋体"/>
                <w:b/>
                <w:bCs/>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4.1</w:t>
            </w:r>
          </w:p>
        </w:tc>
        <w:tc>
          <w:tcPr>
            <w:tcW w:w="2187" w:type="dxa"/>
            <w:vAlign w:val="center"/>
          </w:tcPr>
          <w:p>
            <w:pPr>
              <w:autoSpaceDE w:val="0"/>
              <w:autoSpaceDN w:val="0"/>
              <w:jc w:val="center"/>
              <w:rPr>
                <w:rFonts w:ascii="宋体" w:hAnsi="宋体"/>
                <w:sz w:val="24"/>
              </w:rPr>
            </w:pPr>
            <w:r>
              <w:rPr>
                <w:rFonts w:hint="eastAsia" w:ascii="宋体" w:hAnsi="宋体"/>
                <w:sz w:val="24"/>
              </w:rPr>
              <w:t>报价不一致</w:t>
            </w:r>
          </w:p>
          <w:p>
            <w:pPr>
              <w:autoSpaceDE w:val="0"/>
              <w:autoSpaceDN w:val="0"/>
              <w:jc w:val="center"/>
              <w:rPr>
                <w:rFonts w:ascii="宋体" w:hAnsi="宋体"/>
                <w:sz w:val="24"/>
              </w:rPr>
            </w:pPr>
            <w:r>
              <w:rPr>
                <w:rFonts w:hint="eastAsia" w:ascii="宋体" w:hAnsi="宋体"/>
                <w:sz w:val="24"/>
              </w:rPr>
              <w:t>评判标准</w:t>
            </w:r>
          </w:p>
        </w:tc>
        <w:tc>
          <w:tcPr>
            <w:tcW w:w="6843" w:type="dxa"/>
            <w:vAlign w:val="center"/>
          </w:tcPr>
          <w:p>
            <w:pPr>
              <w:autoSpaceDE w:val="0"/>
              <w:autoSpaceDN w:val="0"/>
              <w:spacing w:before="120" w:beforeLines="50" w:after="120" w:afterLines="50"/>
              <w:jc w:val="left"/>
              <w:rPr>
                <w:sz w:val="24"/>
              </w:rPr>
            </w:pPr>
            <w:r>
              <w:rPr>
                <w:sz w:val="24"/>
              </w:rPr>
              <w:t>如</w:t>
            </w:r>
            <w:r>
              <w:rPr>
                <w:rFonts w:hint="eastAsia"/>
                <w:sz w:val="24"/>
              </w:rPr>
              <w:t>响应</w:t>
            </w:r>
            <w:r>
              <w:rPr>
                <w:sz w:val="24"/>
              </w:rPr>
              <w:t>文件中出现报价且前后不一致的</w:t>
            </w:r>
            <w:r>
              <w:rPr>
                <w:rFonts w:hint="eastAsia"/>
                <w:sz w:val="24"/>
              </w:rPr>
              <w:t>：</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以报价一览表总价（大写）为准</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以分项价格表分项报价为准，修正总价</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以所有价格中最低者为准</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4.2</w:t>
            </w:r>
          </w:p>
        </w:tc>
        <w:tc>
          <w:tcPr>
            <w:tcW w:w="2187" w:type="dxa"/>
            <w:vAlign w:val="center"/>
          </w:tcPr>
          <w:p>
            <w:pPr>
              <w:autoSpaceDE w:val="0"/>
              <w:autoSpaceDN w:val="0"/>
              <w:jc w:val="center"/>
              <w:rPr>
                <w:rFonts w:ascii="宋体" w:hAnsi="宋体"/>
                <w:sz w:val="24"/>
              </w:rPr>
            </w:pPr>
            <w:r>
              <w:rPr>
                <w:rFonts w:hint="eastAsia" w:ascii="宋体" w:hAnsi="宋体"/>
                <w:sz w:val="24"/>
              </w:rPr>
              <w:t>报价漏项</w:t>
            </w:r>
          </w:p>
        </w:tc>
        <w:tc>
          <w:tcPr>
            <w:tcW w:w="6843" w:type="dxa"/>
            <w:vAlign w:val="center"/>
          </w:tcPr>
          <w:p>
            <w:pPr>
              <w:autoSpaceDE w:val="0"/>
              <w:autoSpaceDN w:val="0"/>
              <w:spacing w:before="120" w:beforeLines="50" w:after="120" w:afterLines="50"/>
              <w:jc w:val="left"/>
              <w:rPr>
                <w:rFonts w:ascii="宋体" w:hAnsi="宋体"/>
                <w:sz w:val="24"/>
              </w:rPr>
            </w:pPr>
            <w:r>
              <w:rPr>
                <w:rFonts w:hint="eastAsia" w:ascii="宋体" w:hAnsi="宋体"/>
                <w:sz w:val="24"/>
              </w:rPr>
              <w:t>如响应文件中分项报价漏项：</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废标</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默认为免费提供</w:t>
            </w:r>
          </w:p>
          <w:p>
            <w:pPr>
              <w:autoSpaceDE w:val="0"/>
              <w:autoSpaceDN w:val="0"/>
              <w:spacing w:before="120" w:beforeLines="50" w:after="120" w:afterLines="50"/>
              <w:ind w:firstLine="240" w:firstLineChars="100"/>
              <w:jc w:val="left"/>
              <w:rPr>
                <w:rFonts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4.3</w:t>
            </w:r>
          </w:p>
        </w:tc>
        <w:tc>
          <w:tcPr>
            <w:tcW w:w="2187" w:type="dxa"/>
            <w:vAlign w:val="center"/>
          </w:tcPr>
          <w:p>
            <w:pPr>
              <w:autoSpaceDE w:val="0"/>
              <w:autoSpaceDN w:val="0"/>
              <w:jc w:val="center"/>
              <w:rPr>
                <w:rFonts w:ascii="宋体" w:hAnsi="宋体"/>
                <w:sz w:val="24"/>
              </w:rPr>
            </w:pPr>
            <w:r>
              <w:rPr>
                <w:rFonts w:hint="eastAsia" w:ascii="宋体" w:hAnsi="宋体"/>
                <w:sz w:val="24"/>
              </w:rPr>
              <w:t>非“*”号项条款不响应</w:t>
            </w:r>
          </w:p>
        </w:tc>
        <w:tc>
          <w:tcPr>
            <w:tcW w:w="6843" w:type="dxa"/>
            <w:vAlign w:val="center"/>
          </w:tcPr>
          <w:p>
            <w:pPr>
              <w:autoSpaceDE w:val="0"/>
              <w:autoSpaceDN w:val="0"/>
              <w:spacing w:before="120" w:beforeLines="50" w:after="120" w:afterLines="50"/>
              <w:jc w:val="left"/>
              <w:rPr>
                <w:rFonts w:ascii="宋体" w:hAnsi="宋体"/>
                <w:sz w:val="24"/>
                <w:highlight w:val="none"/>
              </w:rPr>
            </w:pPr>
            <w:r>
              <w:rPr>
                <w:rFonts w:hint="eastAsia" w:ascii="宋体" w:hAnsi="宋体"/>
                <w:sz w:val="24"/>
              </w:rPr>
              <w:t>如响应文件中对非“*”号项条款不响</w:t>
            </w:r>
            <w:r>
              <w:rPr>
                <w:rFonts w:hint="eastAsia" w:ascii="宋体" w:hAnsi="宋体"/>
                <w:sz w:val="24"/>
                <w:highlight w:val="none"/>
              </w:rPr>
              <w:t>应：</w:t>
            </w:r>
          </w:p>
          <w:p>
            <w:pPr>
              <w:autoSpaceDE w:val="0"/>
              <w:autoSpaceDN w:val="0"/>
              <w:spacing w:before="120" w:beforeLines="50" w:after="120" w:afterLines="50"/>
              <w:ind w:left="224" w:leftChars="104" w:hanging="6"/>
              <w:jc w:val="left"/>
              <w:rPr>
                <w:rFonts w:ascii="宋体" w:hAnsi="宋体"/>
                <w:sz w:val="24"/>
                <w:highlight w:val="none"/>
              </w:rPr>
            </w:pPr>
            <w:r>
              <w:rPr>
                <w:rFonts w:hint="eastAsia" w:ascii="宋体" w:hAnsi="宋体"/>
                <w:sz w:val="24"/>
                <w:highlight w:val="none"/>
              </w:rPr>
              <w:t>☑ 超过</w:t>
            </w:r>
            <w:r>
              <w:rPr>
                <w:rFonts w:hint="eastAsia" w:ascii="宋体" w:hAnsi="宋体"/>
                <w:sz w:val="24"/>
                <w:highlight w:val="none"/>
                <w:u w:val="single"/>
              </w:rPr>
              <w:t>_3_</w:t>
            </w:r>
            <w:r>
              <w:rPr>
                <w:rFonts w:hint="eastAsia" w:ascii="宋体" w:hAnsi="宋体"/>
                <w:sz w:val="24"/>
                <w:highlight w:val="none"/>
              </w:rPr>
              <w:t>条</w:t>
            </w:r>
            <w:r>
              <w:rPr>
                <w:rFonts w:hint="eastAsia" w:ascii="宋体" w:hAnsi="宋体"/>
                <w:sz w:val="24"/>
                <w:highlight w:val="none"/>
                <w:lang w:eastAsia="zh-CN"/>
              </w:rPr>
              <w:t>（</w:t>
            </w:r>
            <w:r>
              <w:rPr>
                <w:rFonts w:hint="eastAsia" w:ascii="宋体" w:hAnsi="宋体"/>
                <w:sz w:val="24"/>
                <w:highlight w:val="none"/>
                <w:lang w:val="en-US" w:eastAsia="zh-CN"/>
              </w:rPr>
              <w:t>含3条</w:t>
            </w:r>
            <w:r>
              <w:rPr>
                <w:rFonts w:hint="eastAsia" w:ascii="宋体" w:hAnsi="宋体"/>
                <w:sz w:val="24"/>
                <w:highlight w:val="none"/>
                <w:lang w:eastAsia="zh-CN"/>
              </w:rPr>
              <w:t>）</w:t>
            </w:r>
            <w:r>
              <w:rPr>
                <w:rFonts w:hint="eastAsia" w:ascii="宋体" w:hAnsi="宋体"/>
                <w:sz w:val="24"/>
                <w:highlight w:val="none"/>
              </w:rPr>
              <w:t>不响应，废标</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highlight w:val="none"/>
              </w:rPr>
              <w:t>□ 每不响应1条非“*”号项条款，评审</w:t>
            </w:r>
            <w:r>
              <w:rPr>
                <w:rFonts w:hint="eastAsia" w:ascii="宋体" w:hAnsi="宋体"/>
                <w:sz w:val="24"/>
              </w:rPr>
              <w:t>价格上调</w:t>
            </w:r>
            <w:r>
              <w:rPr>
                <w:rFonts w:hint="eastAsia" w:ascii="宋体" w:hAnsi="宋体"/>
                <w:sz w:val="24"/>
                <w:u w:val="single"/>
              </w:rPr>
              <w:t xml:space="preserve"> 10 </w:t>
            </w:r>
            <w:r>
              <w:rPr>
                <w:rFonts w:hint="eastAsia" w:ascii="宋体" w:hAnsi="宋体"/>
                <w:sz w:val="24"/>
              </w:rPr>
              <w:t>%</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其他：__________________________________</w:t>
            </w:r>
          </w:p>
        </w:tc>
      </w:tr>
    </w:tbl>
    <w:p>
      <w:pPr>
        <w:autoSpaceDE w:val="0"/>
        <w:autoSpaceDN w:val="0"/>
        <w:adjustRightInd w:val="0"/>
        <w:spacing w:line="360" w:lineRule="auto"/>
        <w:ind w:firstLine="720" w:firstLineChars="300"/>
        <w:jc w:val="right"/>
        <w:rPr>
          <w:rFonts w:ascii="宋体" w:hAnsi="宋体"/>
          <w:sz w:val="24"/>
        </w:rPr>
      </w:pPr>
      <w:bookmarkStart w:id="11" w:name="_Hlk27473954"/>
    </w:p>
    <w:p>
      <w:pPr>
        <w:autoSpaceDE w:val="0"/>
        <w:autoSpaceDN w:val="0"/>
        <w:adjustRightInd w:val="0"/>
        <w:spacing w:line="360" w:lineRule="auto"/>
        <w:ind w:firstLine="720" w:firstLineChars="300"/>
        <w:jc w:val="right"/>
        <w:rPr>
          <w:rFonts w:ascii="宋体" w:hAnsi="宋体"/>
          <w:sz w:val="24"/>
        </w:rPr>
      </w:pPr>
      <w:r>
        <w:rPr>
          <w:rFonts w:hint="eastAsia" w:ascii="宋体" w:hAnsi="宋体"/>
          <w:sz w:val="24"/>
        </w:rPr>
        <w:t>采购人：上海飞机客户服务有限公司</w:t>
      </w:r>
    </w:p>
    <w:bookmarkEnd w:id="9"/>
    <w:p>
      <w:pPr>
        <w:jc w:val="center"/>
        <w:outlineLvl w:val="0"/>
        <w:rPr>
          <w:rFonts w:ascii="方正小标宋简体" w:hAnsi="方正小标宋简体" w:eastAsia="方正小标宋简体" w:cs="方正小标宋简体"/>
          <w:b/>
          <w:color w:val="000000"/>
          <w:sz w:val="36"/>
          <w:szCs w:val="36"/>
        </w:rPr>
      </w:pPr>
      <w:r>
        <w:rPr>
          <w:rFonts w:ascii="宋体" w:hAnsi="宋体"/>
          <w:b/>
          <w:color w:val="000000"/>
          <w:sz w:val="40"/>
        </w:rPr>
        <w:br w:type="page"/>
      </w:r>
      <w:bookmarkEnd w:id="10"/>
      <w:bookmarkEnd w:id="11"/>
      <w:bookmarkStart w:id="12" w:name="_Toc15799_WPSOffice_Level1"/>
      <w:r>
        <w:rPr>
          <w:rFonts w:hint="eastAsia" w:ascii="方正小标宋简体" w:hAnsi="方正小标宋简体" w:eastAsia="方正小标宋简体" w:cs="方正小标宋简体"/>
          <w:b/>
          <w:color w:val="000000"/>
          <w:sz w:val="36"/>
          <w:szCs w:val="36"/>
        </w:rPr>
        <w:t>第二章  响应单位须知</w:t>
      </w:r>
      <w:bookmarkEnd w:id="12"/>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响应注意事项：</w:t>
      </w:r>
    </w:p>
    <w:p>
      <w:pPr>
        <w:pStyle w:val="10"/>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应承担所有与准备和参加谈判有关的费用。不论谈判的结果如何，</w:t>
      </w:r>
      <w:r>
        <w:rPr>
          <w:rFonts w:hint="eastAsia"/>
          <w:sz w:val="24"/>
        </w:rPr>
        <w:t>客服</w:t>
      </w:r>
      <w:r>
        <w:rPr>
          <w:sz w:val="24"/>
        </w:rPr>
        <w:t>公司均无义务和责任承担这些费用。</w:t>
      </w:r>
    </w:p>
    <w:p>
      <w:pPr>
        <w:pStyle w:val="10"/>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r>
        <w:rPr>
          <w:rFonts w:hint="eastAsia"/>
          <w:sz w:val="24"/>
        </w:rPr>
        <w:t>正本与副本有差异，以正本为准。</w:t>
      </w:r>
    </w:p>
    <w:p>
      <w:pPr>
        <w:pStyle w:val="10"/>
        <w:numPr>
          <w:ilvl w:val="0"/>
          <w:numId w:val="2"/>
        </w:numPr>
        <w:spacing w:line="400" w:lineRule="exact"/>
        <w:ind w:left="401" w:hanging="400" w:hangingChars="167"/>
        <w:rPr>
          <w:sz w:val="24"/>
        </w:rPr>
      </w:pPr>
      <w:r>
        <w:rPr>
          <w:sz w:val="24"/>
        </w:rPr>
        <w:t>本文件</w:t>
      </w:r>
      <w:r>
        <w:rPr>
          <w:rFonts w:hint="eastAsia"/>
          <w:sz w:val="24"/>
        </w:rPr>
        <w:t>第四章及第五章</w:t>
      </w:r>
      <w:r>
        <w:rPr>
          <w:sz w:val="24"/>
        </w:rPr>
        <w:t>中标注“*”号的均为关键</w:t>
      </w:r>
      <w:r>
        <w:rPr>
          <w:rFonts w:hint="eastAsia"/>
          <w:sz w:val="24"/>
        </w:rPr>
        <w:t>商务要求</w:t>
      </w:r>
      <w:r>
        <w:rPr>
          <w:sz w:val="24"/>
        </w:rPr>
        <w:t>或关键</w:t>
      </w:r>
      <w:r>
        <w:rPr>
          <w:rFonts w:hint="eastAsia"/>
          <w:sz w:val="24"/>
        </w:rPr>
        <w:t>服务要求</w:t>
      </w:r>
      <w:r>
        <w:rPr>
          <w:sz w:val="24"/>
        </w:rPr>
        <w:t>，对这些条款的偏离将导致响应文件被否决。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书面或邮件的形式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响应文件编制、提交要求</w:t>
      </w:r>
    </w:p>
    <w:p>
      <w:pPr>
        <w:pStyle w:val="10"/>
        <w:numPr>
          <w:ilvl w:val="0"/>
          <w:numId w:val="3"/>
        </w:numPr>
        <w:spacing w:line="400" w:lineRule="exact"/>
        <w:ind w:left="401" w:hanging="400" w:hangingChars="167"/>
        <w:rPr>
          <w:sz w:val="24"/>
          <w:highlight w:val="none"/>
        </w:rPr>
      </w:pPr>
      <w:r>
        <w:rPr>
          <w:rFonts w:hint="eastAsia"/>
          <w:sz w:val="24"/>
        </w:rPr>
        <w:t>响应文件应包括下列内容：</w:t>
      </w:r>
    </w:p>
    <w:p>
      <w:pPr>
        <w:numPr>
          <w:ilvl w:val="0"/>
          <w:numId w:val="4"/>
        </w:numPr>
        <w:spacing w:line="400" w:lineRule="exact"/>
        <w:ind w:firstLine="480" w:firstLineChars="200"/>
        <w:rPr>
          <w:sz w:val="24"/>
        </w:rPr>
      </w:pPr>
      <w:r>
        <w:rPr>
          <w:rFonts w:hint="eastAsia"/>
          <w:sz w:val="24"/>
          <w:highlight w:val="none"/>
        </w:rPr>
        <w:t>本文件第一章 3.2中要求的所有</w:t>
      </w:r>
      <w:r>
        <w:rPr>
          <w:rFonts w:hint="eastAsia"/>
          <w:sz w:val="24"/>
        </w:rPr>
        <w:t>文件；</w:t>
      </w:r>
    </w:p>
    <w:p>
      <w:pPr>
        <w:numPr>
          <w:ilvl w:val="0"/>
          <w:numId w:val="4"/>
        </w:numPr>
        <w:spacing w:line="400" w:lineRule="exact"/>
        <w:ind w:firstLine="480" w:firstLineChars="200"/>
        <w:rPr>
          <w:sz w:val="24"/>
        </w:rPr>
      </w:pPr>
      <w:r>
        <w:rPr>
          <w:rFonts w:hint="eastAsia"/>
          <w:sz w:val="24"/>
        </w:rPr>
        <w:t>供应商认为需提供的其它资料。</w:t>
      </w:r>
    </w:p>
    <w:p>
      <w:pPr>
        <w:spacing w:line="400" w:lineRule="exact"/>
        <w:ind w:firstLine="482" w:firstLineChars="200"/>
        <w:rPr>
          <w:b/>
          <w:bCs/>
          <w:sz w:val="24"/>
        </w:rPr>
      </w:pPr>
      <w:r>
        <w:rPr>
          <w:rFonts w:hint="eastAsia"/>
          <w:b/>
          <w:bCs/>
          <w:sz w:val="24"/>
        </w:rPr>
        <w:t>供应商无论成交与否，其响应文件不予退还。</w:t>
      </w:r>
    </w:p>
    <w:p>
      <w:pPr>
        <w:pStyle w:val="10"/>
        <w:numPr>
          <w:ilvl w:val="0"/>
          <w:numId w:val="3"/>
        </w:numPr>
        <w:spacing w:line="400" w:lineRule="exact"/>
        <w:ind w:left="401" w:hanging="400" w:hangingChars="167"/>
        <w:rPr>
          <w:sz w:val="24"/>
        </w:rPr>
      </w:pPr>
      <w:r>
        <w:rPr>
          <w:rFonts w:hint="eastAsia"/>
          <w:sz w:val="24"/>
        </w:rPr>
        <w:t>响应单位应完整地填写本文件中提供的报价一览表和分项报价表。</w:t>
      </w:r>
    </w:p>
    <w:p>
      <w:pPr>
        <w:pStyle w:val="10"/>
        <w:numPr>
          <w:ilvl w:val="0"/>
          <w:numId w:val="3"/>
        </w:numPr>
        <w:spacing w:line="400" w:lineRule="exact"/>
        <w:ind w:left="402" w:hanging="402" w:hangingChars="167"/>
        <w:rPr>
          <w:rFonts w:ascii="宋体" w:hAnsi="宋体" w:cs="宋体"/>
          <w:sz w:val="24"/>
        </w:rPr>
      </w:pPr>
      <w:r>
        <w:rPr>
          <w:rFonts w:hint="eastAsia" w:ascii="宋体" w:hAnsi="宋体" w:cs="宋体"/>
          <w:b/>
          <w:bCs/>
          <w:sz w:val="24"/>
        </w:rPr>
        <w:t>响应单位</w:t>
      </w:r>
      <w:r>
        <w:rPr>
          <w:rFonts w:hint="eastAsia" w:ascii="宋体" w:hAnsi="宋体" w:cs="宋体"/>
          <w:b/>
          <w:bCs/>
          <w:spacing w:val="-4"/>
          <w:sz w:val="24"/>
        </w:rPr>
        <w:t>应根据邀请文件的要求提供服务方案等内容,</w:t>
      </w:r>
      <w:r>
        <w:rPr>
          <w:rFonts w:hint="eastAsia" w:ascii="宋体" w:hAnsi="宋体" w:cs="宋体"/>
          <w:b/>
          <w:bCs/>
          <w:spacing w:val="-3"/>
          <w:sz w:val="24"/>
        </w:rPr>
        <w:t>以佐证对服务要求的响应。</w:t>
      </w:r>
    </w:p>
    <w:p>
      <w:pPr>
        <w:pStyle w:val="10"/>
        <w:numPr>
          <w:ilvl w:val="0"/>
          <w:numId w:val="3"/>
        </w:numPr>
        <w:spacing w:line="400" w:lineRule="exact"/>
        <w:ind w:left="401" w:hanging="400" w:hangingChars="167"/>
        <w:rPr>
          <w:sz w:val="24"/>
        </w:rPr>
      </w:pPr>
      <w:r>
        <w:rPr>
          <w:rFonts w:hint="eastAsia"/>
          <w:sz w:val="24"/>
        </w:rPr>
        <w:t>本文件所指“公章”指需要响应单位的公司章，“投标专用章”、“合同专用章”等均不属于公章。</w:t>
      </w:r>
      <w:r>
        <w:rPr>
          <w:rFonts w:hint="eastAsia"/>
          <w:sz w:val="24"/>
        </w:rPr>
        <w:tab/>
      </w:r>
    </w:p>
    <w:p>
      <w:pPr>
        <w:pStyle w:val="10"/>
        <w:numPr>
          <w:ilvl w:val="0"/>
          <w:numId w:val="3"/>
        </w:numPr>
        <w:spacing w:line="400" w:lineRule="exact"/>
        <w:ind w:left="401" w:hanging="400" w:hangingChars="167"/>
        <w:rPr>
          <w:sz w:val="24"/>
        </w:rPr>
      </w:pPr>
      <w:r>
        <w:rPr>
          <w:rFonts w:hint="eastAsia"/>
          <w:sz w:val="24"/>
        </w:rPr>
        <w:t>响应文件的正本、副本应打印或用不褪色墨水书写，不得有任何修改。提供的电子版本应为响应文件正本的扫描件（红章）。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竞争性谈判步骤：</w:t>
      </w:r>
    </w:p>
    <w:p>
      <w:pPr>
        <w:pStyle w:val="10"/>
        <w:numPr>
          <w:ilvl w:val="0"/>
          <w:numId w:val="5"/>
        </w:numPr>
        <w:spacing w:line="400" w:lineRule="exact"/>
        <w:ind w:left="417" w:leftChars="9" w:hanging="398" w:hangingChars="166"/>
        <w:rPr>
          <w:sz w:val="24"/>
        </w:rPr>
      </w:pPr>
      <w:r>
        <w:rPr>
          <w:rFonts w:hint="eastAsia"/>
          <w:sz w:val="24"/>
        </w:rPr>
        <w:t>所有被邀请单位于规定的时间截止前提交响应文件。</w:t>
      </w:r>
    </w:p>
    <w:p>
      <w:pPr>
        <w:pStyle w:val="10"/>
        <w:numPr>
          <w:ilvl w:val="0"/>
          <w:numId w:val="5"/>
        </w:numPr>
        <w:spacing w:line="400" w:lineRule="exact"/>
        <w:ind w:left="417" w:leftChars="9" w:hanging="398" w:hangingChars="166"/>
        <w:rPr>
          <w:sz w:val="24"/>
        </w:rPr>
      </w:pPr>
      <w:r>
        <w:rPr>
          <w:rFonts w:hint="eastAsia"/>
          <w:sz w:val="24"/>
        </w:rPr>
        <w:t>客服公司组建竞争性谈判小组组织开标（响应单位无需到场）。</w:t>
      </w:r>
    </w:p>
    <w:p>
      <w:pPr>
        <w:pStyle w:val="10"/>
        <w:numPr>
          <w:ilvl w:val="0"/>
          <w:numId w:val="5"/>
        </w:numPr>
        <w:spacing w:line="400" w:lineRule="exact"/>
        <w:ind w:left="417" w:leftChars="9" w:hanging="398" w:hangingChars="166"/>
        <w:rPr>
          <w:sz w:val="24"/>
        </w:rPr>
      </w:pPr>
      <w:r>
        <w:rPr>
          <w:rFonts w:hint="eastAsia"/>
          <w:sz w:val="24"/>
        </w:rPr>
        <w:t>竞争性谈判小组按照竞争性谈判文件要求开展评审，评审过程中，竞争性谈判小组可与受邀供应商开展谈判，谈判后供应商应提交最终版的响应文件及报价。</w:t>
      </w:r>
    </w:p>
    <w:p>
      <w:pPr>
        <w:pStyle w:val="10"/>
        <w:numPr>
          <w:ilvl w:val="0"/>
          <w:numId w:val="5"/>
        </w:numPr>
        <w:spacing w:line="400" w:lineRule="exact"/>
        <w:ind w:left="417" w:leftChars="9" w:hanging="398" w:hangingChars="166"/>
        <w:rPr>
          <w:sz w:val="24"/>
        </w:rPr>
      </w:pPr>
      <w:r>
        <w:rPr>
          <w:rFonts w:hint="eastAsia"/>
          <w:sz w:val="24"/>
        </w:rPr>
        <w:t>竞争性谈判小组选择满足竞争性谈判文件实质性要求，并且经评审最优的供应商为成交候选人。</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响应单位串标、围标的认定：</w:t>
      </w:r>
    </w:p>
    <w:p>
      <w:pPr>
        <w:pStyle w:val="10"/>
        <w:spacing w:line="400" w:lineRule="exact"/>
        <w:ind w:left="-10" w:leftChars="-5" w:firstLine="480"/>
        <w:rPr>
          <w:sz w:val="24"/>
        </w:rPr>
      </w:pPr>
      <w:r>
        <w:rPr>
          <w:rFonts w:hint="eastAsia"/>
          <w:sz w:val="24"/>
        </w:rPr>
        <w:t>响应单位有以下情况的，响应文件将认定无效。</w:t>
      </w:r>
    </w:p>
    <w:p>
      <w:pPr>
        <w:pStyle w:val="10"/>
        <w:numPr>
          <w:ilvl w:val="0"/>
          <w:numId w:val="6"/>
        </w:numPr>
        <w:spacing w:line="400" w:lineRule="exact"/>
        <w:ind w:left="401" w:hanging="400" w:hangingChars="167"/>
        <w:rPr>
          <w:sz w:val="24"/>
        </w:rPr>
      </w:pPr>
      <w:r>
        <w:rPr>
          <w:rFonts w:hint="eastAsia"/>
          <w:sz w:val="24"/>
        </w:rPr>
        <w:t>不同响应单位的响应文件由同一单位或者个人编制；</w:t>
      </w:r>
    </w:p>
    <w:p>
      <w:pPr>
        <w:pStyle w:val="10"/>
        <w:numPr>
          <w:ilvl w:val="0"/>
          <w:numId w:val="6"/>
        </w:numPr>
        <w:spacing w:line="400" w:lineRule="exact"/>
        <w:ind w:left="401" w:hanging="400" w:hangingChars="167"/>
        <w:rPr>
          <w:sz w:val="24"/>
        </w:rPr>
      </w:pPr>
      <w:r>
        <w:rPr>
          <w:rFonts w:hint="eastAsia"/>
          <w:sz w:val="24"/>
        </w:rPr>
        <w:t>不同响应单位委托同一单位或者个人办理响应事宜；</w:t>
      </w:r>
    </w:p>
    <w:p>
      <w:pPr>
        <w:pStyle w:val="10"/>
        <w:numPr>
          <w:ilvl w:val="0"/>
          <w:numId w:val="6"/>
        </w:numPr>
        <w:spacing w:line="400" w:lineRule="exact"/>
        <w:ind w:left="401" w:hanging="400" w:hangingChars="167"/>
        <w:rPr>
          <w:sz w:val="24"/>
        </w:rPr>
      </w:pPr>
      <w:r>
        <w:rPr>
          <w:rFonts w:hint="eastAsia"/>
          <w:sz w:val="24"/>
        </w:rPr>
        <w:t>不同响应单位的响应文件载明的项目管理成员或者联系人员为同一人；</w:t>
      </w:r>
    </w:p>
    <w:p>
      <w:pPr>
        <w:pStyle w:val="10"/>
        <w:numPr>
          <w:ilvl w:val="0"/>
          <w:numId w:val="6"/>
        </w:numPr>
        <w:spacing w:line="400" w:lineRule="exact"/>
        <w:ind w:left="401" w:hanging="400" w:hangingChars="167"/>
        <w:rPr>
          <w:sz w:val="24"/>
        </w:rPr>
      </w:pPr>
      <w:r>
        <w:rPr>
          <w:rFonts w:hint="eastAsia"/>
          <w:sz w:val="24"/>
        </w:rPr>
        <w:t>不同响应单位的响应文件存在异常一致的错误；</w:t>
      </w:r>
    </w:p>
    <w:p>
      <w:pPr>
        <w:pStyle w:val="10"/>
        <w:numPr>
          <w:ilvl w:val="0"/>
          <w:numId w:val="6"/>
        </w:numPr>
        <w:spacing w:line="400" w:lineRule="exact"/>
        <w:ind w:left="401" w:hanging="400" w:hangingChars="167"/>
        <w:rPr>
          <w:sz w:val="24"/>
        </w:rPr>
      </w:pPr>
      <w:r>
        <w:rPr>
          <w:rFonts w:hint="eastAsia"/>
          <w:sz w:val="24"/>
        </w:rPr>
        <w:t>不同响应单位的响应文件相互混装。</w:t>
      </w:r>
    </w:p>
    <w:p>
      <w:pPr>
        <w:pStyle w:val="10"/>
        <w:spacing w:line="400" w:lineRule="exact"/>
        <w:ind w:firstLine="0" w:firstLineChars="0"/>
        <w:rPr>
          <w:sz w:val="24"/>
        </w:rPr>
      </w:pPr>
    </w:p>
    <w:p>
      <w:pPr>
        <w:jc w:val="center"/>
      </w:pPr>
      <w:bookmarkStart w:id="13" w:name="_Hlk11752017"/>
      <w:bookmarkStart w:id="14" w:name="_Hlk11751980"/>
    </w:p>
    <w:p>
      <w:pPr>
        <w:jc w:val="center"/>
      </w:pPr>
    </w:p>
    <w:p>
      <w:pPr>
        <w:jc w:val="center"/>
        <w:outlineLvl w:val="0"/>
        <w:rPr>
          <w:rFonts w:ascii="方正小标宋简体" w:hAnsi="方正小标宋简体" w:eastAsia="方正小标宋简体" w:cs="方正小标宋简体"/>
          <w:b/>
          <w:color w:val="000000"/>
          <w:sz w:val="36"/>
          <w:szCs w:val="36"/>
        </w:rPr>
      </w:pPr>
      <w:r>
        <w:br w:type="page"/>
      </w:r>
      <w:bookmarkStart w:id="15" w:name="_Toc31820_WPSOffice_Level1"/>
      <w:r>
        <w:rPr>
          <w:rFonts w:hint="eastAsia" w:ascii="方正小标宋简体" w:hAnsi="方正小标宋简体" w:eastAsia="方正小标宋简体" w:cs="方正小标宋简体"/>
          <w:b/>
          <w:color w:val="000000"/>
          <w:sz w:val="36"/>
          <w:szCs w:val="36"/>
        </w:rPr>
        <w:t>第三章  评审办法</w:t>
      </w:r>
      <w:bookmarkEnd w:id="15"/>
    </w:p>
    <w:p>
      <w:pPr>
        <w:adjustRightInd w:val="0"/>
        <w:snapToGrid w:val="0"/>
        <w:spacing w:line="360" w:lineRule="auto"/>
        <w:ind w:firstLine="480" w:firstLineChars="200"/>
        <w:rPr>
          <w:rFonts w:ascii="Calibri" w:hAnsi="Calibri" w:cs="Calibri"/>
          <w:snapToGrid w:val="0"/>
          <w:color w:val="000000"/>
          <w:sz w:val="24"/>
        </w:rPr>
      </w:pPr>
      <w:bookmarkStart w:id="16"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客服公司组建的竞争性谈判小组负责</w:t>
      </w:r>
      <w:r>
        <w:rPr>
          <w:rFonts w:ascii="Calibri" w:hAnsi="Calibri" w:cs="Calibri"/>
          <w:snapToGrid w:val="0"/>
          <w:sz w:val="24"/>
          <w:lang w:eastAsia="ko-KR"/>
        </w:rPr>
        <w:t>。</w:t>
      </w:r>
      <w:r>
        <w:rPr>
          <w:rFonts w:hint="eastAsia" w:ascii="Calibri" w:hAnsi="Calibri" w:cs="Calibri"/>
          <w:snapToGrid w:val="0"/>
          <w:sz w:val="24"/>
        </w:rPr>
        <w:t>谈判小组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谈判小组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rPr>
        <w:t>竞争性谈判</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符合性评审中，谈判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有以下情况的，将做废标处理。</w:t>
      </w:r>
    </w:p>
    <w:tbl>
      <w:tblPr>
        <w:tblStyle w:val="33"/>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54" w:type="dxa"/>
            <w:vAlign w:val="center"/>
          </w:tcPr>
          <w:p>
            <w:pPr>
              <w:adjustRightInd w:val="0"/>
              <w:snapToGrid w:val="0"/>
              <w:jc w:val="center"/>
              <w:rPr>
                <w:rFonts w:ascii="宋体" w:hAnsi="宋体"/>
                <w:sz w:val="24"/>
              </w:rPr>
            </w:pPr>
            <w:r>
              <w:rPr>
                <w:rFonts w:hint="eastAsia" w:ascii="宋体" w:hAnsi="宋体"/>
                <w:sz w:val="24"/>
              </w:rPr>
              <w:t>序号</w:t>
            </w:r>
          </w:p>
        </w:tc>
        <w:tc>
          <w:tcPr>
            <w:tcW w:w="2370" w:type="dxa"/>
            <w:vAlign w:val="center"/>
          </w:tcPr>
          <w:p>
            <w:pPr>
              <w:adjustRightInd w:val="0"/>
              <w:snapToGrid w:val="0"/>
              <w:jc w:val="center"/>
              <w:rPr>
                <w:rFonts w:ascii="宋体" w:hAnsi="宋体"/>
                <w:sz w:val="24"/>
              </w:rPr>
            </w:pPr>
            <w:r>
              <w:rPr>
                <w:rFonts w:hint="eastAsia" w:ascii="宋体" w:hAnsi="宋体"/>
                <w:sz w:val="24"/>
              </w:rPr>
              <w:t>评审内容</w:t>
            </w:r>
          </w:p>
        </w:tc>
        <w:tc>
          <w:tcPr>
            <w:tcW w:w="5790" w:type="dxa"/>
            <w:vAlign w:val="center"/>
          </w:tcPr>
          <w:p>
            <w:pPr>
              <w:adjustRightInd w:val="0"/>
              <w:snapToGrid w:val="0"/>
              <w:jc w:val="center"/>
              <w:rPr>
                <w:rFonts w:ascii="宋体" w:hAnsi="宋体"/>
                <w:sz w:val="24"/>
              </w:rPr>
            </w:pPr>
            <w:r>
              <w:rPr>
                <w:rFonts w:hint="eastAsia" w:ascii="宋体" w:hAnsi="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 w:val="22"/>
                <w:szCs w:val="22"/>
              </w:rPr>
            </w:pPr>
            <w:r>
              <w:rPr>
                <w:rFonts w:hint="eastAsia" w:ascii="宋体" w:hAnsi="宋体"/>
                <w:sz w:val="22"/>
                <w:szCs w:val="22"/>
              </w:rPr>
              <w:t>营业执照</w:t>
            </w:r>
          </w:p>
        </w:tc>
        <w:tc>
          <w:tcPr>
            <w:tcW w:w="5790" w:type="dxa"/>
            <w:vAlign w:val="center"/>
          </w:tcPr>
          <w:p>
            <w:pPr>
              <w:adjustRightInd w:val="0"/>
              <w:snapToGrid w:val="0"/>
              <w:jc w:val="center"/>
              <w:rPr>
                <w:rFonts w:ascii="宋体" w:hAnsi="宋体"/>
                <w:sz w:val="22"/>
                <w:szCs w:val="22"/>
              </w:rPr>
            </w:pPr>
            <w:r>
              <w:rPr>
                <w:rFonts w:hint="eastAsia" w:ascii="宋体" w:hAnsi="宋体"/>
                <w:sz w:val="22"/>
                <w:szCs w:val="22"/>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rPr>
            </w:pPr>
            <w:r>
              <w:rPr>
                <w:rFonts w:hint="eastAsia" w:ascii="宋体" w:hAnsi="宋体"/>
                <w:szCs w:val="21"/>
              </w:rPr>
              <w:t>2</w:t>
            </w:r>
          </w:p>
        </w:tc>
        <w:tc>
          <w:tcPr>
            <w:tcW w:w="2370" w:type="dxa"/>
            <w:vAlign w:val="center"/>
          </w:tcPr>
          <w:p>
            <w:pPr>
              <w:adjustRightInd w:val="0"/>
              <w:snapToGrid w:val="0"/>
              <w:jc w:val="center"/>
              <w:rPr>
                <w:rFonts w:ascii="宋体" w:hAnsi="宋体"/>
                <w:sz w:val="22"/>
                <w:szCs w:val="22"/>
              </w:rPr>
            </w:pPr>
            <w:r>
              <w:rPr>
                <w:rFonts w:hint="eastAsia" w:ascii="宋体" w:hAnsi="宋体"/>
                <w:sz w:val="22"/>
                <w:szCs w:val="22"/>
              </w:rPr>
              <w:t>商务要求或服务要求</w:t>
            </w:r>
          </w:p>
        </w:tc>
        <w:tc>
          <w:tcPr>
            <w:tcW w:w="5790" w:type="dxa"/>
            <w:vAlign w:val="center"/>
          </w:tcPr>
          <w:p>
            <w:pPr>
              <w:adjustRightInd w:val="0"/>
              <w:snapToGrid w:val="0"/>
              <w:jc w:val="center"/>
              <w:rPr>
                <w:rFonts w:ascii="宋体" w:hAnsi="宋体"/>
                <w:sz w:val="22"/>
                <w:szCs w:val="22"/>
              </w:rPr>
            </w:pPr>
            <w:r>
              <w:rPr>
                <w:rFonts w:hint="eastAsia" w:ascii="宋体" w:hAnsi="宋体"/>
                <w:sz w:val="22"/>
                <w:szCs w:val="22"/>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 w:val="22"/>
                <w:szCs w:val="22"/>
              </w:rPr>
            </w:pPr>
            <w:r>
              <w:rPr>
                <w:rFonts w:hint="eastAsia" w:ascii="宋体" w:hAnsi="宋体"/>
                <w:sz w:val="22"/>
                <w:szCs w:val="22"/>
              </w:rPr>
              <w:t>法定代表人或授权代表资格</w:t>
            </w:r>
          </w:p>
        </w:tc>
        <w:tc>
          <w:tcPr>
            <w:tcW w:w="5790" w:type="dxa"/>
            <w:vAlign w:val="center"/>
          </w:tcPr>
          <w:p>
            <w:pPr>
              <w:adjustRightInd w:val="0"/>
              <w:snapToGrid w:val="0"/>
              <w:jc w:val="center"/>
              <w:rPr>
                <w:rFonts w:ascii="宋体" w:hAnsi="宋体"/>
                <w:sz w:val="22"/>
                <w:szCs w:val="22"/>
              </w:rPr>
            </w:pPr>
            <w:r>
              <w:rPr>
                <w:rFonts w:hint="eastAsia" w:ascii="宋体" w:hAnsi="宋体"/>
                <w:sz w:val="22"/>
                <w:szCs w:val="22"/>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4</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供应商名称</w:t>
            </w:r>
          </w:p>
        </w:tc>
        <w:tc>
          <w:tcPr>
            <w:tcW w:w="5790" w:type="dxa"/>
            <w:vAlign w:val="center"/>
          </w:tcPr>
          <w:p>
            <w:pPr>
              <w:jc w:val="center"/>
              <w:rPr>
                <w:rFonts w:ascii="宋体" w:hAnsi="宋体"/>
                <w:sz w:val="22"/>
                <w:szCs w:val="22"/>
              </w:rPr>
            </w:pPr>
            <w:r>
              <w:rPr>
                <w:rFonts w:hint="eastAsia" w:ascii="宋体" w:hAnsi="宋体"/>
                <w:sz w:val="22"/>
                <w:szCs w:val="22"/>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5</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响应文件签署</w:t>
            </w:r>
          </w:p>
        </w:tc>
        <w:tc>
          <w:tcPr>
            <w:tcW w:w="5790" w:type="dxa"/>
            <w:vAlign w:val="center"/>
          </w:tcPr>
          <w:p>
            <w:pPr>
              <w:jc w:val="center"/>
              <w:rPr>
                <w:rFonts w:ascii="宋体" w:hAnsi="宋体"/>
                <w:sz w:val="22"/>
                <w:szCs w:val="22"/>
              </w:rPr>
            </w:pPr>
            <w:r>
              <w:rPr>
                <w:rFonts w:hint="eastAsia" w:ascii="宋体" w:hAnsi="宋体"/>
                <w:sz w:val="22"/>
                <w:szCs w:val="22"/>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6</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响应方案及报价</w:t>
            </w:r>
          </w:p>
        </w:tc>
        <w:tc>
          <w:tcPr>
            <w:tcW w:w="5790" w:type="dxa"/>
            <w:vAlign w:val="center"/>
          </w:tcPr>
          <w:p>
            <w:pPr>
              <w:jc w:val="center"/>
              <w:rPr>
                <w:rFonts w:ascii="宋体" w:hAnsi="宋体"/>
                <w:sz w:val="22"/>
                <w:szCs w:val="22"/>
              </w:rPr>
            </w:pPr>
            <w:r>
              <w:rPr>
                <w:rFonts w:hint="eastAsia" w:ascii="宋体" w:hAnsi="宋体"/>
                <w:sz w:val="22"/>
                <w:szCs w:val="22"/>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7</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响应文件有效期</w:t>
            </w:r>
          </w:p>
        </w:tc>
        <w:tc>
          <w:tcPr>
            <w:tcW w:w="5790" w:type="dxa"/>
            <w:vAlign w:val="center"/>
          </w:tcPr>
          <w:p>
            <w:pPr>
              <w:jc w:val="center"/>
              <w:rPr>
                <w:rFonts w:ascii="宋体" w:hAnsi="宋体"/>
                <w:sz w:val="22"/>
                <w:szCs w:val="22"/>
              </w:rPr>
            </w:pPr>
            <w:r>
              <w:rPr>
                <w:rFonts w:hint="eastAsia" w:ascii="宋体" w:hAnsi="宋体"/>
                <w:sz w:val="22"/>
                <w:szCs w:val="22"/>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8</w:t>
            </w:r>
          </w:p>
        </w:tc>
        <w:tc>
          <w:tcPr>
            <w:tcW w:w="2370" w:type="dxa"/>
            <w:vAlign w:val="center"/>
          </w:tcPr>
          <w:p>
            <w:pPr>
              <w:jc w:val="center"/>
              <w:rPr>
                <w:rFonts w:ascii="宋体" w:hAnsi="宋体"/>
                <w:sz w:val="22"/>
                <w:szCs w:val="22"/>
              </w:rPr>
            </w:pPr>
            <w:r>
              <w:rPr>
                <w:rFonts w:hint="eastAsia" w:ascii="宋体" w:hAnsi="宋体"/>
                <w:sz w:val="22"/>
                <w:szCs w:val="22"/>
              </w:rPr>
              <w:t>服务期限或付款方式</w:t>
            </w:r>
          </w:p>
        </w:tc>
        <w:tc>
          <w:tcPr>
            <w:tcW w:w="5790" w:type="dxa"/>
            <w:vAlign w:val="center"/>
          </w:tcPr>
          <w:p>
            <w:pPr>
              <w:jc w:val="center"/>
              <w:rPr>
                <w:rFonts w:ascii="宋体" w:hAnsi="宋体"/>
                <w:sz w:val="22"/>
                <w:szCs w:val="22"/>
              </w:rPr>
            </w:pPr>
            <w:r>
              <w:rPr>
                <w:rFonts w:hint="eastAsia" w:ascii="宋体" w:hAnsi="宋体"/>
                <w:sz w:val="22"/>
                <w:szCs w:val="22"/>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9</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其他</w:t>
            </w:r>
          </w:p>
        </w:tc>
        <w:tc>
          <w:tcPr>
            <w:tcW w:w="5790" w:type="dxa"/>
            <w:vAlign w:val="center"/>
          </w:tcPr>
          <w:p>
            <w:pPr>
              <w:jc w:val="center"/>
              <w:rPr>
                <w:rFonts w:ascii="宋体" w:hAnsi="宋体"/>
                <w:sz w:val="22"/>
                <w:szCs w:val="22"/>
              </w:rPr>
            </w:pPr>
            <w:r>
              <w:rPr>
                <w:rFonts w:hint="eastAsia" w:ascii="宋体" w:hAnsi="宋体"/>
                <w:sz w:val="22"/>
                <w:szCs w:val="22"/>
              </w:rPr>
              <w:t>存在串标、围标情形</w:t>
            </w:r>
          </w:p>
        </w:tc>
      </w:tr>
    </w:tbl>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小组可自行决定与供应商开展商务谈判，谈判将与响应单位单独进行，谈判内容应仅限于对响应文件内容的确认以及对价格的谈判。谈判需形成书面文件，所有参与商务谈判的人员需签字确认。响应单位有义务配合谈判小组的约谈要求。如响应单位拒绝谈判小组的谈判要求，谈判小组可视同其文件内容不作变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bookmarkEnd w:id="16"/>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ascii="Calibri" w:hAnsi="Calibri" w:cs="Calibri"/>
          <w:b/>
          <w:bCs/>
          <w:snapToGrid w:val="0"/>
          <w:sz w:val="24"/>
        </w:rPr>
      </w:pPr>
      <w:r>
        <w:rPr>
          <w:rFonts w:hint="eastAsia" w:ascii="Calibri" w:hAnsi="Calibri" w:cs="Calibri"/>
          <w:b/>
          <w:bCs/>
          <w:snapToGrid w:val="0"/>
          <w:sz w:val="24"/>
        </w:rPr>
        <w:t>本项目采用</w:t>
      </w:r>
      <w:r>
        <w:rPr>
          <w:rFonts w:ascii="Calibri" w:hAnsi="Calibri" w:cs="Calibri"/>
          <w:b/>
          <w:bCs/>
          <w:snapToGrid w:val="0"/>
          <w:sz w:val="24"/>
          <w:u w:val="single"/>
        </w:rPr>
        <w:t xml:space="preserve">  </w:t>
      </w:r>
      <w:r>
        <w:rPr>
          <w:rFonts w:hint="eastAsia" w:ascii="Calibri" w:hAnsi="Calibri" w:cs="Calibri"/>
          <w:b/>
          <w:bCs/>
          <w:snapToGrid w:val="0"/>
          <w:sz w:val="24"/>
          <w:u w:val="single"/>
        </w:rPr>
        <w:t>最低评标价法</w:t>
      </w:r>
      <w:r>
        <w:rPr>
          <w:rFonts w:ascii="Calibri" w:hAnsi="Calibri" w:cs="Calibri"/>
          <w:b/>
          <w:bCs/>
          <w:snapToGrid w:val="0"/>
          <w:sz w:val="24"/>
          <w:u w:val="single"/>
        </w:rPr>
        <w:t xml:space="preserve">  </w:t>
      </w:r>
      <w:r>
        <w:rPr>
          <w:rFonts w:hint="eastAsia" w:ascii="Calibri" w:hAnsi="Calibri" w:cs="Calibri"/>
          <w:b/>
          <w:bCs/>
          <w:snapToGrid w:val="0"/>
          <w:sz w:val="24"/>
        </w:rPr>
        <w:t>的评审方法。</w:t>
      </w:r>
    </w:p>
    <w:p>
      <w:pPr>
        <w:widowControl/>
        <w:snapToGrid w:val="0"/>
        <w:spacing w:line="360" w:lineRule="auto"/>
        <w:ind w:firstLine="482" w:firstLineChars="200"/>
        <w:rPr>
          <w:rFonts w:ascii="Calibri" w:hAnsi="Calibri" w:cs="Calibri"/>
          <w:b/>
          <w:bCs/>
          <w:snapToGrid w:val="0"/>
          <w:sz w:val="24"/>
        </w:rPr>
      </w:pPr>
      <w:r>
        <w:rPr>
          <w:rFonts w:hint="eastAsia" w:ascii="Calibri" w:hAnsi="Calibri" w:cs="Calibri"/>
          <w:b/>
          <w:bCs/>
          <w:snapToGrid w:val="0"/>
          <w:sz w:val="24"/>
        </w:rPr>
        <w:t>评标价格为报价一览表的总价，即分项报价表表1 IT硬件设备零星维修服务、表2其他维修项目和表3上门服务费的费用。</w:t>
      </w:r>
    </w:p>
    <w:p>
      <w:pPr>
        <w:spacing w:line="400" w:lineRule="exact"/>
        <w:ind w:firstLine="480" w:firstLineChars="200"/>
        <w:rPr>
          <w:sz w:val="24"/>
        </w:rPr>
      </w:pPr>
      <w:r>
        <w:rPr>
          <w:rFonts w:hint="eastAsia"/>
          <w:sz w:val="24"/>
        </w:rPr>
        <w:t>评审步骤如下：</w:t>
      </w:r>
    </w:p>
    <w:p>
      <w:pPr>
        <w:numPr>
          <w:ilvl w:val="0"/>
          <w:numId w:val="8"/>
        </w:numPr>
        <w:spacing w:line="400" w:lineRule="exact"/>
        <w:ind w:firstLine="480" w:firstLineChars="200"/>
        <w:rPr>
          <w:sz w:val="24"/>
        </w:rPr>
      </w:pPr>
      <w:r>
        <w:rPr>
          <w:rFonts w:hint="eastAsia"/>
          <w:sz w:val="24"/>
        </w:rPr>
        <w:t>确认最终报价</w:t>
      </w:r>
    </w:p>
    <w:p>
      <w:pPr>
        <w:spacing w:line="400" w:lineRule="exact"/>
        <w:ind w:firstLine="480" w:firstLineChars="200"/>
        <w:rPr>
          <w:sz w:val="24"/>
        </w:rPr>
      </w:pPr>
      <w:r>
        <w:rPr>
          <w:rFonts w:hint="eastAsia"/>
          <w:sz w:val="24"/>
        </w:rPr>
        <w:t>竞争性谈判小组最通过符合性评审的响应单位的最终报价进行确认，经过谈判后有提供最后报价的，以最后报价为准。</w:t>
      </w:r>
    </w:p>
    <w:p>
      <w:pPr>
        <w:numPr>
          <w:ilvl w:val="0"/>
          <w:numId w:val="8"/>
        </w:numPr>
        <w:spacing w:line="400" w:lineRule="exact"/>
        <w:ind w:firstLine="480" w:firstLineChars="200"/>
        <w:rPr>
          <w:sz w:val="24"/>
        </w:rPr>
      </w:pPr>
      <w:r>
        <w:rPr>
          <w:rFonts w:hint="eastAsia"/>
          <w:sz w:val="24"/>
        </w:rPr>
        <w:t>价格调整</w:t>
      </w:r>
    </w:p>
    <w:p>
      <w:pPr>
        <w:spacing w:line="400" w:lineRule="exact"/>
        <w:ind w:firstLine="480" w:firstLineChars="200"/>
        <w:rPr>
          <w:sz w:val="24"/>
        </w:rPr>
      </w:pPr>
      <w:r>
        <w:rPr>
          <w:rFonts w:hint="eastAsia"/>
          <w:sz w:val="24"/>
        </w:rPr>
        <w:t>如响应文件中报价有错误，竞争性谈判小组将对价格进行调整，调整原则如下：</w:t>
      </w:r>
    </w:p>
    <w:p>
      <w:pPr>
        <w:numPr>
          <w:ilvl w:val="0"/>
          <w:numId w:val="9"/>
        </w:numPr>
        <w:spacing w:line="400" w:lineRule="exact"/>
        <w:ind w:firstLine="480" w:firstLineChars="200"/>
        <w:rPr>
          <w:sz w:val="24"/>
        </w:rPr>
      </w:pPr>
      <w:r>
        <w:rPr>
          <w:rFonts w:hint="eastAsia"/>
          <w:sz w:val="24"/>
        </w:rPr>
        <w:t>总价与单价不一致，按照本文件第一章第4.1条“报价不一致评判标准”调整价格</w:t>
      </w:r>
    </w:p>
    <w:p>
      <w:pPr>
        <w:numPr>
          <w:ilvl w:val="0"/>
          <w:numId w:val="9"/>
        </w:numPr>
        <w:spacing w:line="400" w:lineRule="exact"/>
        <w:ind w:firstLine="480" w:firstLineChars="200"/>
        <w:rPr>
          <w:sz w:val="24"/>
        </w:rPr>
      </w:pPr>
      <w:r>
        <w:rPr>
          <w:rFonts w:hint="eastAsia"/>
          <w:sz w:val="24"/>
        </w:rPr>
        <w:t>报价漏项，按照本文件第一章4.2“报价漏项”调整价格</w:t>
      </w:r>
    </w:p>
    <w:p>
      <w:pPr>
        <w:numPr>
          <w:ilvl w:val="0"/>
          <w:numId w:val="9"/>
        </w:numPr>
        <w:spacing w:line="400" w:lineRule="exact"/>
        <w:ind w:firstLine="480" w:firstLineChars="200"/>
        <w:rPr>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sz w:val="24"/>
        </w:rPr>
      </w:pPr>
      <w:r>
        <w:rPr>
          <w:rFonts w:hint="eastAsia"/>
          <w:sz w:val="24"/>
        </w:rPr>
        <w:t>确认评标价格</w:t>
      </w:r>
    </w:p>
    <w:p>
      <w:pPr>
        <w:spacing w:line="400" w:lineRule="exact"/>
        <w:ind w:firstLine="480" w:firstLineChars="200"/>
        <w:rPr>
          <w:sz w:val="24"/>
        </w:rPr>
      </w:pPr>
      <w:r>
        <w:rPr>
          <w:rFonts w:hint="eastAsia"/>
          <w:sz w:val="24"/>
        </w:rPr>
        <w:t>竞争性谈判小组认定通过符合性评审的、经过价格调整的响应单位的最终价格为评标价格，经过谈判后有提供最后报价的，以最后报价为评标价格。</w:t>
      </w:r>
    </w:p>
    <w:p>
      <w:pPr>
        <w:numPr>
          <w:ilvl w:val="0"/>
          <w:numId w:val="8"/>
        </w:numPr>
        <w:spacing w:line="400" w:lineRule="exact"/>
        <w:ind w:firstLine="480" w:firstLineChars="200"/>
        <w:rPr>
          <w:sz w:val="24"/>
        </w:rPr>
      </w:pPr>
      <w:r>
        <w:rPr>
          <w:rFonts w:hint="eastAsia"/>
          <w:sz w:val="24"/>
        </w:rPr>
        <w:t>推荐成交候选人</w:t>
      </w:r>
    </w:p>
    <w:p>
      <w:pPr>
        <w:spacing w:line="400" w:lineRule="exact"/>
        <w:ind w:firstLine="480" w:firstLineChars="200"/>
        <w:rPr>
          <w:sz w:val="24"/>
        </w:rPr>
      </w:pPr>
      <w:r>
        <w:rPr>
          <w:rFonts w:hint="eastAsia"/>
          <w:sz w:val="24"/>
        </w:rPr>
        <w:t>竞争性谈判小组根据评标价格，按价格由低到高推荐2-3名成交候选人，有以下特殊情况时，按照下述情况处理：</w:t>
      </w:r>
    </w:p>
    <w:p>
      <w:pPr>
        <w:numPr>
          <w:ilvl w:val="0"/>
          <w:numId w:val="10"/>
        </w:numPr>
        <w:spacing w:line="400" w:lineRule="exact"/>
        <w:ind w:firstLine="480" w:firstLineChars="200"/>
        <w:rPr>
          <w:sz w:val="24"/>
        </w:rPr>
      </w:pPr>
      <w:r>
        <w:rPr>
          <w:rFonts w:hint="eastAsia"/>
          <w:sz w:val="24"/>
        </w:rPr>
        <w:t>当出现2家以上的评标价格相同时，由竞争性谈判小组通过讨论确定排序。</w:t>
      </w:r>
    </w:p>
    <w:p>
      <w:pPr>
        <w:numPr>
          <w:ilvl w:val="0"/>
          <w:numId w:val="10"/>
        </w:numPr>
        <w:spacing w:line="400" w:lineRule="exact"/>
        <w:ind w:firstLine="480" w:firstLineChars="200"/>
        <w:rPr>
          <w:sz w:val="24"/>
        </w:rPr>
      </w:pPr>
      <w:r>
        <w:rPr>
          <w:rFonts w:hint="eastAsia"/>
          <w:sz w:val="24"/>
        </w:rPr>
        <w:t>当最终评审时仅有1家响应单位时，如评标价格为最低价或非最低价但技术能力较优，则可推荐为成交候选人。其余情况，竞争性谈判小组应当认为本项目竞争性不足，不推荐成交候选人。</w:t>
      </w:r>
    </w:p>
    <w:p>
      <w:pPr>
        <w:numPr>
          <w:ilvl w:val="0"/>
          <w:numId w:val="10"/>
        </w:numPr>
        <w:spacing w:line="400" w:lineRule="exact"/>
        <w:ind w:firstLine="480" w:firstLineChars="200"/>
        <w:rPr>
          <w:sz w:val="24"/>
        </w:rPr>
      </w:pPr>
      <w:r>
        <w:rPr>
          <w:rFonts w:hint="eastAsia"/>
          <w:sz w:val="24"/>
        </w:rPr>
        <w:t>当竞争性谈判小组认为所有评标价格均较高时，可以不推荐成交候选人。</w:t>
      </w:r>
    </w:p>
    <w:p>
      <w:pPr>
        <w:numPr>
          <w:ilvl w:val="0"/>
          <w:numId w:val="10"/>
        </w:numPr>
        <w:spacing w:line="400" w:lineRule="exact"/>
        <w:ind w:firstLine="480" w:firstLineChars="200"/>
        <w:rPr>
          <w:sz w:val="24"/>
        </w:rPr>
      </w:pPr>
      <w:r>
        <w:rPr>
          <w:rFonts w:hint="eastAsia"/>
          <w:sz w:val="24"/>
        </w:rPr>
        <w:t>当最低评标价格低于其他有效响应单位的评标价格算术平均数的</w:t>
      </w:r>
      <w:r>
        <w:rPr>
          <w:rFonts w:hint="eastAsia"/>
          <w:sz w:val="24"/>
          <w:u w:val="single"/>
        </w:rPr>
        <w:t>50</w:t>
      </w:r>
      <w:r>
        <w:rPr>
          <w:rFonts w:hint="eastAsia"/>
          <w:sz w:val="24"/>
        </w:rPr>
        <w:t>%时，竞争性谈判小组应当要求该供应商作出书面说明并提供相关证明材料。该供应商不能合理说明或不能提供相关证明材料的，视作该响应报价无效。</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sz w:val="24"/>
        </w:rPr>
      </w:pPr>
      <w:r>
        <w:rPr>
          <w:rFonts w:hint="eastAsia"/>
          <w:sz w:val="24"/>
        </w:rPr>
        <w:t>竞争性谈判小组根据成交候选人名单，确定排名第1的供应商为成交供应商。</w:t>
      </w:r>
    </w:p>
    <w:p>
      <w:pPr>
        <w:adjustRightInd w:val="0"/>
        <w:snapToGrid w:val="0"/>
        <w:spacing w:line="360" w:lineRule="auto"/>
        <w:jc w:val="center"/>
        <w:rPr>
          <w:rFonts w:ascii="宋体" w:hAnsi="宋体"/>
          <w:b/>
          <w:sz w:val="28"/>
          <w:szCs w:val="28"/>
        </w:rPr>
      </w:pPr>
    </w:p>
    <w:p>
      <w:pPr>
        <w:jc w:val="center"/>
        <w:outlineLvl w:val="0"/>
        <w:rPr>
          <w:rFonts w:ascii="方正小标宋简体" w:hAnsi="方正小标宋简体" w:eastAsia="方正小标宋简体" w:cs="方正小标宋简体"/>
          <w:b/>
          <w:color w:val="000000"/>
          <w:sz w:val="36"/>
          <w:szCs w:val="36"/>
        </w:rPr>
      </w:pPr>
      <w:r>
        <w:rPr>
          <w:rFonts w:ascii="宋体" w:hAnsi="宋体"/>
          <w:kern w:val="44"/>
          <w:szCs w:val="21"/>
        </w:rPr>
        <w:br w:type="page"/>
      </w:r>
      <w:bookmarkStart w:id="17" w:name="_Toc742_WPSOffice_Level1"/>
      <w:r>
        <w:rPr>
          <w:rFonts w:hint="eastAsia" w:ascii="方正小标宋简体" w:hAnsi="方正小标宋简体" w:eastAsia="方正小标宋简体" w:cs="方正小标宋简体"/>
          <w:b/>
          <w:color w:val="000000"/>
          <w:sz w:val="36"/>
          <w:szCs w:val="36"/>
        </w:rPr>
        <w:t>第四章  商务要求</w:t>
      </w:r>
      <w:bookmarkEnd w:id="17"/>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rPr>
        <w:sym w:font="Wingdings" w:char="00FE"/>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4"/>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ascii="宋体" w:hAnsi="宋体"/>
                <w:sz w:val="24"/>
              </w:rPr>
            </w:pPr>
            <w:r>
              <w:rPr>
                <w:rFonts w:hint="eastAsia" w:ascii="宋体" w:hAnsi="宋体"/>
                <w:sz w:val="24"/>
              </w:rPr>
              <w:t>序号</w:t>
            </w:r>
          </w:p>
        </w:tc>
        <w:tc>
          <w:tcPr>
            <w:tcW w:w="1695" w:type="dxa"/>
            <w:vAlign w:val="center"/>
          </w:tcPr>
          <w:p>
            <w:pPr>
              <w:autoSpaceDE w:val="0"/>
              <w:autoSpaceDN w:val="0"/>
              <w:jc w:val="center"/>
              <w:rPr>
                <w:rFonts w:ascii="宋体" w:hAnsi="宋体"/>
                <w:sz w:val="24"/>
              </w:rPr>
            </w:pPr>
            <w:r>
              <w:rPr>
                <w:rFonts w:hint="eastAsia" w:ascii="宋体" w:hAnsi="宋体"/>
                <w:sz w:val="24"/>
              </w:rPr>
              <w:t>内容</w:t>
            </w:r>
          </w:p>
        </w:tc>
        <w:tc>
          <w:tcPr>
            <w:tcW w:w="6604" w:type="dxa"/>
            <w:vAlign w:val="center"/>
          </w:tcPr>
          <w:p>
            <w:pPr>
              <w:autoSpaceDE w:val="0"/>
              <w:autoSpaceDN w:val="0"/>
              <w:spacing w:before="120" w:beforeLines="50" w:after="120" w:afterLines="50"/>
              <w:jc w:val="center"/>
              <w:rPr>
                <w:rFonts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w:t>
            </w:r>
            <w:r>
              <w:rPr>
                <w:rFonts w:hint="eastAsia" w:ascii="宋体" w:hAnsi="宋体"/>
                <w:sz w:val="24"/>
              </w:rPr>
              <w:t>1</w:t>
            </w:r>
          </w:p>
        </w:tc>
        <w:tc>
          <w:tcPr>
            <w:tcW w:w="1695" w:type="dxa"/>
            <w:vAlign w:val="center"/>
          </w:tcPr>
          <w:p>
            <w:pPr>
              <w:autoSpaceDE w:val="0"/>
              <w:autoSpaceDN w:val="0"/>
              <w:jc w:val="center"/>
              <w:rPr>
                <w:rFonts w:ascii="宋体" w:hAnsi="宋体"/>
                <w:sz w:val="24"/>
              </w:rPr>
            </w:pPr>
            <w:r>
              <w:rPr>
                <w:rFonts w:hint="eastAsia" w:ascii="宋体" w:hAnsi="宋体"/>
                <w:sz w:val="24"/>
              </w:rPr>
              <w:t>营业执照</w:t>
            </w:r>
          </w:p>
        </w:tc>
        <w:tc>
          <w:tcPr>
            <w:tcW w:w="6604" w:type="dxa"/>
            <w:vAlign w:val="center"/>
          </w:tcPr>
          <w:p>
            <w:pPr>
              <w:autoSpaceDE w:val="0"/>
              <w:autoSpaceDN w:val="0"/>
              <w:spacing w:before="120" w:beforeLines="50" w:after="120" w:afterLines="50"/>
              <w:ind w:left="249" w:leftChars="104" w:hanging="31" w:hangingChars="13"/>
              <w:jc w:val="left"/>
              <w:rPr>
                <w:sz w:val="24"/>
              </w:rPr>
            </w:pPr>
            <w:r>
              <w:rPr>
                <w:rFonts w:hint="eastAsia" w:ascii="宋体" w:hAnsi="宋体"/>
                <w:sz w:val="24"/>
              </w:rPr>
              <w:sym w:font="Wingdings" w:char="00FE"/>
            </w:r>
            <w:r>
              <w:rPr>
                <w:rFonts w:hint="eastAsia" w:ascii="宋体" w:hAnsi="宋体"/>
                <w:sz w:val="24"/>
              </w:rPr>
              <w:t xml:space="preserve"> </w:t>
            </w:r>
            <w:r>
              <w:rPr>
                <w:rFonts w:hint="eastAsia"/>
                <w:sz w:val="24"/>
              </w:rPr>
              <w:t>响应单位</w:t>
            </w:r>
            <w:r>
              <w:rPr>
                <w:sz w:val="24"/>
              </w:rPr>
              <w:t>应提供最新年检的企业法人营业执照、组织机构代码证、税务登记证及其他相应资质文件。（若三证合一，只需提供企业法人营业执照）</w:t>
            </w:r>
            <w:r>
              <w:rPr>
                <w:rFonts w:hint="eastAsia"/>
                <w:sz w:val="24"/>
              </w:rPr>
              <w:t>。</w:t>
            </w:r>
          </w:p>
          <w:p>
            <w:pPr>
              <w:autoSpaceDE w:val="0"/>
              <w:autoSpaceDN w:val="0"/>
              <w:spacing w:before="120" w:beforeLines="50" w:after="120" w:afterLines="50"/>
              <w:ind w:left="249" w:leftChars="104" w:hanging="31" w:hangingChars="13"/>
              <w:jc w:val="left"/>
              <w:rPr>
                <w:sz w:val="24"/>
              </w:rPr>
            </w:pPr>
            <w:r>
              <w:rPr>
                <w:rFonts w:hint="eastAsia" w:ascii="宋体" w:hAnsi="宋体"/>
                <w:sz w:val="24"/>
              </w:rPr>
              <w:t>□ 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2</w:t>
            </w:r>
          </w:p>
        </w:tc>
        <w:tc>
          <w:tcPr>
            <w:tcW w:w="1695" w:type="dxa"/>
            <w:vAlign w:val="center"/>
          </w:tcPr>
          <w:p>
            <w:pPr>
              <w:autoSpaceDE w:val="0"/>
              <w:autoSpaceDN w:val="0"/>
              <w:jc w:val="center"/>
              <w:rPr>
                <w:rFonts w:ascii="宋体" w:hAnsi="宋体"/>
                <w:sz w:val="24"/>
              </w:rPr>
            </w:pPr>
            <w:r>
              <w:rPr>
                <w:rFonts w:hint="eastAsia" w:ascii="宋体" w:hAnsi="宋体"/>
                <w:sz w:val="24"/>
              </w:rPr>
              <w:t>注册资金</w:t>
            </w:r>
          </w:p>
        </w:tc>
        <w:tc>
          <w:tcPr>
            <w:tcW w:w="6604" w:type="dxa"/>
            <w:vAlign w:val="center"/>
          </w:tcPr>
          <w:p>
            <w:pPr>
              <w:autoSpaceDE w:val="0"/>
              <w:autoSpaceDN w:val="0"/>
              <w:spacing w:before="120" w:beforeLines="50" w:after="120" w:afterLines="50"/>
              <w:ind w:left="225" w:leftChars="102" w:hanging="11"/>
              <w:jc w:val="left"/>
              <w:rPr>
                <w:sz w:val="24"/>
              </w:rPr>
            </w:pPr>
            <w:r>
              <w:rPr>
                <w:rFonts w:hint="eastAsia" w:ascii="宋体" w:hAnsi="宋体"/>
                <w:sz w:val="24"/>
              </w:rPr>
              <w:sym w:font="Wingdings" w:char="00FE"/>
            </w:r>
            <w:r>
              <w:rPr>
                <w:rFonts w:hint="eastAsia" w:ascii="宋体" w:hAnsi="宋体"/>
                <w:sz w:val="24"/>
              </w:rPr>
              <w:t xml:space="preserve"> 响应单位注册资金不低于</w:t>
            </w:r>
            <w:r>
              <w:rPr>
                <w:rFonts w:hint="eastAsia" w:ascii="宋体" w:hAnsi="宋体"/>
                <w:sz w:val="24"/>
                <w:u w:val="single"/>
              </w:rPr>
              <w:t xml:space="preserve"> 500 </w:t>
            </w:r>
            <w:r>
              <w:rPr>
                <w:rFonts w:hint="eastAsia" w:ascii="宋体" w:hAnsi="宋体"/>
                <w:sz w:val="24"/>
              </w:rPr>
              <w:t>万元，营业执照无法体现的，需提供额外证明材料或承诺函。</w:t>
            </w:r>
          </w:p>
          <w:p>
            <w:pPr>
              <w:autoSpaceDE w:val="0"/>
              <w:autoSpaceDN w:val="0"/>
              <w:spacing w:before="120" w:beforeLines="50" w:after="120" w:afterLines="50"/>
              <w:ind w:left="427" w:leftChars="103" w:hanging="211" w:hangingChars="88"/>
              <w:jc w:val="left"/>
              <w:rPr>
                <w:rFonts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3</w:t>
            </w:r>
          </w:p>
        </w:tc>
        <w:tc>
          <w:tcPr>
            <w:tcW w:w="1695" w:type="dxa"/>
            <w:vAlign w:val="center"/>
          </w:tcPr>
          <w:p>
            <w:pPr>
              <w:autoSpaceDE w:val="0"/>
              <w:autoSpaceDN w:val="0"/>
              <w:jc w:val="center"/>
              <w:rPr>
                <w:rFonts w:ascii="宋体" w:hAnsi="宋体"/>
                <w:sz w:val="24"/>
              </w:rPr>
            </w:pPr>
            <w:r>
              <w:rPr>
                <w:rFonts w:hint="eastAsia" w:ascii="宋体" w:hAnsi="宋体"/>
                <w:sz w:val="24"/>
              </w:rPr>
              <w:t>实缴资本</w:t>
            </w:r>
          </w:p>
        </w:tc>
        <w:tc>
          <w:tcPr>
            <w:tcW w:w="6604" w:type="dxa"/>
            <w:vAlign w:val="center"/>
          </w:tcPr>
          <w:p>
            <w:pPr>
              <w:autoSpaceDE w:val="0"/>
              <w:autoSpaceDN w:val="0"/>
              <w:spacing w:before="120" w:beforeLines="50" w:after="120" w:afterLines="50"/>
              <w:ind w:left="225" w:leftChars="102" w:hanging="11"/>
              <w:jc w:val="left"/>
              <w:rPr>
                <w:sz w:val="24"/>
              </w:rPr>
            </w:pPr>
            <w:r>
              <w:rPr>
                <w:rFonts w:hint="eastAsia" w:ascii="宋体" w:hAnsi="宋体"/>
                <w:sz w:val="24"/>
              </w:rPr>
              <w:t>□ 响应单位实缴资本不低于</w:t>
            </w:r>
            <w:r>
              <w:rPr>
                <w:rFonts w:hint="eastAsia" w:ascii="宋体" w:hAnsi="宋体"/>
                <w:sz w:val="24"/>
                <w:u w:val="single"/>
              </w:rPr>
              <w:t xml:space="preserve">  </w:t>
            </w:r>
            <w:r>
              <w:rPr>
                <w:rFonts w:hint="eastAsia" w:ascii="宋体" w:hAnsi="宋体"/>
                <w:sz w:val="24"/>
              </w:rPr>
              <w:t>万元，需提供额外证明材料或承诺函。</w:t>
            </w:r>
          </w:p>
          <w:p>
            <w:pPr>
              <w:autoSpaceDE w:val="0"/>
              <w:autoSpaceDN w:val="0"/>
              <w:spacing w:before="120" w:beforeLines="50" w:after="120" w:afterLines="50"/>
              <w:ind w:left="427" w:leftChars="103" w:hanging="211" w:hangingChars="88"/>
              <w:jc w:val="left"/>
              <w:rPr>
                <w:rFonts w:ascii="宋体" w:hAnsi="宋体"/>
                <w:sz w:val="24"/>
              </w:rPr>
            </w:pPr>
            <w:r>
              <w:rPr>
                <w:rFonts w:hint="eastAsia" w:ascii="宋体" w:hAnsi="宋体"/>
                <w:sz w:val="24"/>
              </w:rPr>
              <w:sym w:font="Wingdings" w:char="00FE"/>
            </w:r>
            <w:r>
              <w:rPr>
                <w:rFonts w:hint="eastAsia" w:ascii="宋体" w:hAnsi="宋体"/>
                <w:sz w:val="24"/>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4</w:t>
            </w:r>
          </w:p>
        </w:tc>
        <w:tc>
          <w:tcPr>
            <w:tcW w:w="1695" w:type="dxa"/>
            <w:vAlign w:val="center"/>
          </w:tcPr>
          <w:p>
            <w:pPr>
              <w:autoSpaceDE w:val="0"/>
              <w:autoSpaceDN w:val="0"/>
              <w:jc w:val="center"/>
              <w:rPr>
                <w:rFonts w:ascii="宋体" w:hAnsi="宋体"/>
                <w:sz w:val="24"/>
              </w:rPr>
            </w:pPr>
            <w:r>
              <w:rPr>
                <w:rFonts w:hint="eastAsia" w:ascii="宋体" w:hAnsi="宋体"/>
                <w:sz w:val="24"/>
              </w:rPr>
              <w:t>财务状况</w:t>
            </w:r>
          </w:p>
        </w:tc>
        <w:tc>
          <w:tcPr>
            <w:tcW w:w="6604" w:type="dxa"/>
            <w:vAlign w:val="center"/>
          </w:tcPr>
          <w:p>
            <w:pPr>
              <w:autoSpaceDE w:val="0"/>
              <w:autoSpaceDN w:val="0"/>
              <w:spacing w:before="120" w:beforeLines="50" w:after="120" w:afterLines="50"/>
              <w:ind w:left="249" w:leftChars="104" w:hanging="31" w:hangingChars="13"/>
              <w:jc w:val="left"/>
              <w:rPr>
                <w:rFonts w:ascii="宋体" w:hAnsi="宋体"/>
                <w:sz w:val="24"/>
              </w:rPr>
            </w:pPr>
            <w:r>
              <w:rPr>
                <w:rFonts w:hint="eastAsia" w:ascii="宋体" w:hAnsi="宋体"/>
                <w:sz w:val="24"/>
              </w:rPr>
              <w:sym w:font="Wingdings" w:char="00FE"/>
            </w:r>
            <w:r>
              <w:rPr>
                <w:rFonts w:hint="eastAsia" w:ascii="宋体" w:hAnsi="宋体"/>
                <w:sz w:val="24"/>
              </w:rPr>
              <w:t>提供近</w:t>
            </w:r>
            <w:r>
              <w:rPr>
                <w:rFonts w:hint="eastAsia" w:ascii="宋体" w:hAnsi="宋体"/>
                <w:sz w:val="24"/>
                <w:u w:val="single"/>
              </w:rPr>
              <w:t xml:space="preserve"> 3 </w:t>
            </w:r>
            <w:r>
              <w:rPr>
                <w:rFonts w:hint="eastAsia" w:ascii="宋体" w:hAnsi="宋体"/>
                <w:sz w:val="24"/>
              </w:rPr>
              <w:t>年</w:t>
            </w:r>
            <w:r>
              <w:rPr>
                <w:sz w:val="24"/>
              </w:rPr>
              <w:t>（</w:t>
            </w:r>
            <w:r>
              <w:rPr>
                <w:rFonts w:hint="eastAsia" w:ascii="宋体" w:hAnsi="宋体"/>
                <w:sz w:val="24"/>
                <w:u w:val="single"/>
              </w:rPr>
              <w:t>2021</w:t>
            </w:r>
            <w:r>
              <w:rPr>
                <w:sz w:val="24"/>
              </w:rPr>
              <w:t>年~</w:t>
            </w:r>
            <w:r>
              <w:rPr>
                <w:rFonts w:hint="eastAsia" w:ascii="宋体" w:hAnsi="宋体"/>
                <w:sz w:val="24"/>
                <w:u w:val="single"/>
              </w:rPr>
              <w:t xml:space="preserve"> 2023</w:t>
            </w:r>
            <w:r>
              <w:rPr>
                <w:sz w:val="24"/>
              </w:rPr>
              <w:t>年）</w:t>
            </w:r>
            <w:r>
              <w:rPr>
                <w:rFonts w:hint="eastAsia" w:ascii="宋体" w:hAnsi="宋体"/>
                <w:sz w:val="24"/>
              </w:rPr>
              <w:t>的财务报表，包括资产负债表、利润表及现金流量表，成立不满三年的，提供成立起至今的财务报表。</w:t>
            </w:r>
          </w:p>
          <w:p>
            <w:pPr>
              <w:autoSpaceDE w:val="0"/>
              <w:autoSpaceDN w:val="0"/>
              <w:spacing w:before="120" w:beforeLines="50" w:after="120" w:afterLines="50"/>
              <w:ind w:left="249" w:leftChars="104" w:hanging="31" w:hangingChars="13"/>
              <w:jc w:val="left"/>
              <w:rPr>
                <w:rFonts w:ascii="宋体" w:hAnsi="宋体"/>
                <w:sz w:val="24"/>
              </w:rPr>
            </w:pPr>
            <w:r>
              <w:rPr>
                <w:rFonts w:hint="eastAsia" w:ascii="宋体" w:hAnsi="宋体"/>
                <w:sz w:val="24"/>
              </w:rPr>
              <w:t>□本项目不需提供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*5</w:t>
            </w:r>
          </w:p>
        </w:tc>
        <w:tc>
          <w:tcPr>
            <w:tcW w:w="1695" w:type="dxa"/>
            <w:vAlign w:val="center"/>
          </w:tcPr>
          <w:p>
            <w:pPr>
              <w:autoSpaceDE w:val="0"/>
              <w:autoSpaceDN w:val="0"/>
              <w:jc w:val="center"/>
              <w:rPr>
                <w:rFonts w:ascii="宋体" w:hAnsi="宋体"/>
                <w:sz w:val="24"/>
              </w:rPr>
            </w:pPr>
            <w:r>
              <w:rPr>
                <w:rFonts w:hint="eastAsia" w:ascii="宋体" w:hAnsi="宋体"/>
                <w:sz w:val="24"/>
              </w:rPr>
              <w:t>业绩要求</w:t>
            </w:r>
          </w:p>
        </w:tc>
        <w:tc>
          <w:tcPr>
            <w:tcW w:w="6604" w:type="dxa"/>
            <w:vAlign w:val="center"/>
          </w:tcPr>
          <w:p>
            <w:pPr>
              <w:autoSpaceDE w:val="0"/>
              <w:autoSpaceDN w:val="0"/>
              <w:spacing w:before="120" w:beforeLines="50" w:after="120" w:afterLines="50"/>
              <w:ind w:left="222" w:leftChars="103" w:hanging="6"/>
              <w:jc w:val="left"/>
              <w:rPr>
                <w:sz w:val="24"/>
              </w:rPr>
            </w:pPr>
            <w:r>
              <w:rPr>
                <w:rFonts w:hint="eastAsia" w:ascii="宋体" w:hAnsi="宋体"/>
                <w:sz w:val="24"/>
              </w:rPr>
              <w:t xml:space="preserve">☑ </w:t>
            </w:r>
            <w:r>
              <w:rPr>
                <w:rFonts w:hint="eastAsia"/>
                <w:sz w:val="24"/>
              </w:rPr>
              <w:t>响应单位</w:t>
            </w:r>
            <w:r>
              <w:rPr>
                <w:rFonts w:hint="eastAsia" w:ascii="宋体" w:hAnsi="宋体"/>
                <w:sz w:val="24"/>
                <w:u w:val="single"/>
              </w:rPr>
              <w:t>2021</w:t>
            </w:r>
            <w:r>
              <w:rPr>
                <w:sz w:val="24"/>
              </w:rPr>
              <w:t>年~</w:t>
            </w:r>
            <w:r>
              <w:rPr>
                <w:rFonts w:hint="eastAsia"/>
                <w:sz w:val="24"/>
              </w:rPr>
              <w:t>至今</w:t>
            </w:r>
            <w:r>
              <w:rPr>
                <w:sz w:val="24"/>
              </w:rPr>
              <w:t>应有</w:t>
            </w:r>
            <w:r>
              <w:rPr>
                <w:rFonts w:hint="eastAsia"/>
                <w:sz w:val="24"/>
              </w:rPr>
              <w:t>不低于</w:t>
            </w:r>
            <w:r>
              <w:rPr>
                <w:rFonts w:hint="eastAsia" w:ascii="宋体" w:hAnsi="宋体"/>
                <w:sz w:val="24"/>
                <w:u w:val="single"/>
              </w:rPr>
              <w:t xml:space="preserve"> 2 </w:t>
            </w:r>
            <w:r>
              <w:rPr>
                <w:rFonts w:hint="eastAsia" w:ascii="宋体" w:hAnsi="宋体"/>
                <w:sz w:val="24"/>
              </w:rPr>
              <w:t>份与</w:t>
            </w:r>
            <w:r>
              <w:rPr>
                <w:sz w:val="24"/>
              </w:rPr>
              <w:t>本次</w:t>
            </w:r>
            <w:r>
              <w:rPr>
                <w:rFonts w:hint="eastAsia"/>
                <w:sz w:val="24"/>
              </w:rPr>
              <w:t>服务</w:t>
            </w:r>
            <w:r>
              <w:rPr>
                <w:sz w:val="24"/>
              </w:rPr>
              <w:t>相同或类似的</w:t>
            </w:r>
            <w:r>
              <w:rPr>
                <w:rFonts w:hint="eastAsia"/>
                <w:sz w:val="24"/>
              </w:rPr>
              <w:t>服务</w:t>
            </w:r>
            <w:r>
              <w:rPr>
                <w:sz w:val="24"/>
              </w:rPr>
              <w:t>业绩，提供合同复印件作为证明材料（合同复印件须能认定签署日期、</w:t>
            </w:r>
            <w:r>
              <w:rPr>
                <w:rFonts w:hint="eastAsia"/>
                <w:sz w:val="24"/>
              </w:rPr>
              <w:t>服务</w:t>
            </w:r>
            <w:r>
              <w:rPr>
                <w:sz w:val="24"/>
              </w:rPr>
              <w:t>内容、合同签订方，否则将作为无效证明材料）</w:t>
            </w:r>
            <w:r>
              <w:rPr>
                <w:rFonts w:hint="eastAsia"/>
                <w:sz w:val="24"/>
              </w:rPr>
              <w:t>。</w:t>
            </w:r>
          </w:p>
          <w:p>
            <w:pPr>
              <w:autoSpaceDE w:val="0"/>
              <w:autoSpaceDN w:val="0"/>
              <w:spacing w:before="120" w:beforeLines="50" w:after="120" w:afterLines="50"/>
              <w:ind w:left="222" w:leftChars="103" w:hanging="6"/>
              <w:rPr>
                <w:rFonts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48" w:hRule="atLeast"/>
          <w:jc w:val="center"/>
        </w:trPr>
        <w:tc>
          <w:tcPr>
            <w:tcW w:w="766" w:type="dxa"/>
            <w:vMerge w:val="restart"/>
            <w:vAlign w:val="center"/>
          </w:tcPr>
          <w:p>
            <w:pPr>
              <w:autoSpaceDE w:val="0"/>
              <w:autoSpaceDN w:val="0"/>
              <w:jc w:val="center"/>
              <w:rPr>
                <w:rFonts w:ascii="宋体" w:hAnsi="宋体"/>
                <w:sz w:val="24"/>
              </w:rPr>
            </w:pPr>
            <w:r>
              <w:rPr>
                <w:rFonts w:hint="eastAsia" w:ascii="宋体" w:hAnsi="宋体"/>
                <w:sz w:val="24"/>
              </w:rPr>
              <w:t>*6</w:t>
            </w:r>
          </w:p>
        </w:tc>
        <w:tc>
          <w:tcPr>
            <w:tcW w:w="1695" w:type="dxa"/>
            <w:vMerge w:val="restart"/>
            <w:vAlign w:val="center"/>
          </w:tcPr>
          <w:p>
            <w:pPr>
              <w:autoSpaceDE w:val="0"/>
              <w:autoSpaceDN w:val="0"/>
              <w:jc w:val="center"/>
              <w:rPr>
                <w:rFonts w:ascii="宋体" w:hAnsi="宋体"/>
                <w:sz w:val="24"/>
              </w:rPr>
            </w:pPr>
            <w:r>
              <w:rPr>
                <w:rFonts w:hint="eastAsia" w:ascii="宋体" w:hAnsi="宋体"/>
                <w:sz w:val="24"/>
              </w:rPr>
              <w:t>付款条款</w:t>
            </w:r>
          </w:p>
        </w:tc>
        <w:tc>
          <w:tcPr>
            <w:tcW w:w="6604" w:type="dxa"/>
            <w:vAlign w:val="center"/>
          </w:tcPr>
          <w:p>
            <w:pPr>
              <w:pStyle w:val="2"/>
              <w:ind w:left="216" w:leftChars="103" w:firstLine="2"/>
              <w:jc w:val="both"/>
              <w:rPr>
                <w:rFonts w:ascii="宋体" w:hAnsi="宋体"/>
                <w:b w:val="0"/>
                <w:bCs w:val="0"/>
                <w:sz w:val="24"/>
              </w:rPr>
            </w:pPr>
            <w:r>
              <w:rPr>
                <w:rFonts w:hint="eastAsia" w:ascii="宋体" w:hAnsi="宋体"/>
                <w:sz w:val="24"/>
              </w:rPr>
              <w:sym w:font="Wingdings" w:char="00FE"/>
            </w:r>
            <w:r>
              <w:rPr>
                <w:rFonts w:hint="eastAsia" w:ascii="宋体" w:hAnsi="宋体"/>
                <w:sz w:val="24"/>
              </w:rPr>
              <w:t xml:space="preserve"> 按以下模式付款：</w:t>
            </w:r>
          </w:p>
          <w:p>
            <w:pPr>
              <w:pStyle w:val="2"/>
              <w:ind w:firstLine="480" w:firstLineChars="200"/>
              <w:jc w:val="both"/>
              <w:rPr>
                <w:rFonts w:ascii="宋体" w:hAnsi="宋体"/>
                <w:sz w:val="24"/>
              </w:rPr>
            </w:pPr>
            <w:r>
              <w:rPr>
                <w:rFonts w:hint="eastAsia" w:ascii="宋体" w:hAnsi="宋体"/>
                <w:b w:val="0"/>
                <w:bCs w:val="0"/>
                <w:sz w:val="24"/>
              </w:rPr>
              <w:t>本合同为框架合同，账款结算期为3个月结算一次，甲方在收到乙方正确无误的增值税专用发票和双方签字确认的结算清单后</w:t>
            </w:r>
            <w:r>
              <w:rPr>
                <w:rFonts w:ascii="宋体" w:hAnsi="宋体"/>
                <w:b w:val="0"/>
                <w:bCs w:val="0"/>
                <w:sz w:val="24"/>
              </w:rPr>
              <w:t>30个工作日以转账形式支付。</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Merge w:val="continue"/>
            <w:vAlign w:val="center"/>
          </w:tcPr>
          <w:p>
            <w:pPr>
              <w:autoSpaceDE w:val="0"/>
              <w:autoSpaceDN w:val="0"/>
              <w:jc w:val="center"/>
              <w:rPr>
                <w:rFonts w:ascii="宋体" w:hAnsi="宋体"/>
                <w:sz w:val="24"/>
              </w:rPr>
            </w:pPr>
          </w:p>
        </w:tc>
        <w:tc>
          <w:tcPr>
            <w:tcW w:w="1695" w:type="dxa"/>
            <w:vMerge w:val="continue"/>
            <w:vAlign w:val="center"/>
          </w:tcPr>
          <w:p>
            <w:pPr>
              <w:autoSpaceDE w:val="0"/>
              <w:autoSpaceDN w:val="0"/>
              <w:jc w:val="center"/>
              <w:rPr>
                <w:rFonts w:ascii="宋体" w:hAnsi="宋体"/>
                <w:sz w:val="24"/>
              </w:rPr>
            </w:pPr>
          </w:p>
        </w:tc>
        <w:tc>
          <w:tcPr>
            <w:tcW w:w="6604" w:type="dxa"/>
            <w:vAlign w:val="center"/>
          </w:tcPr>
          <w:p>
            <w:pPr>
              <w:spacing w:before="120" w:beforeLines="50" w:after="120" w:afterLines="50"/>
              <w:ind w:left="228" w:leftChars="103" w:hanging="12" w:hangingChars="5"/>
              <w:rPr>
                <w:rFonts w:ascii="宋体" w:hAnsi="宋体"/>
                <w:b/>
                <w:bCs/>
                <w:sz w:val="24"/>
              </w:rPr>
            </w:pPr>
            <w:r>
              <w:rPr>
                <w:rFonts w:hint="eastAsia" w:ascii="宋体" w:hAnsi="宋体"/>
                <w:b/>
                <w:bCs/>
                <w:sz w:val="24"/>
              </w:rPr>
              <w:t>上述合同付款条款，根据客服公司选择，具体开票要求如下：</w:t>
            </w:r>
          </w:p>
          <w:p>
            <w:pPr>
              <w:spacing w:before="120" w:beforeLines="50" w:after="120" w:afterLines="50"/>
              <w:ind w:left="220"/>
              <w:rPr>
                <w:rFonts w:ascii="宋体" w:hAnsi="宋体"/>
                <w:sz w:val="24"/>
              </w:rPr>
            </w:pPr>
            <w:r>
              <w:rPr>
                <w:rFonts w:hint="eastAsia" w:ascii="宋体" w:hAnsi="宋体"/>
                <w:sz w:val="24"/>
              </w:rPr>
              <w:sym w:font="Wingdings" w:char="00FE"/>
            </w:r>
            <w:r>
              <w:rPr>
                <w:rFonts w:hint="eastAsia" w:ascii="宋体" w:hAnsi="宋体"/>
                <w:sz w:val="24"/>
              </w:rPr>
              <w:t xml:space="preserve"> 供应商按含税价开具真实合法有效的增值税专用发票；</w:t>
            </w:r>
          </w:p>
          <w:p>
            <w:pPr>
              <w:spacing w:before="120" w:beforeLines="50" w:after="120" w:afterLines="50"/>
              <w:ind w:left="220"/>
              <w:rPr>
                <w:rFonts w:ascii="宋体" w:hAnsi="宋体"/>
                <w:sz w:val="24"/>
              </w:rPr>
            </w:pPr>
            <w:r>
              <w:rPr>
                <w:rFonts w:hint="eastAsia" w:ascii="宋体" w:hAnsi="宋体"/>
                <w:sz w:val="24"/>
              </w:rPr>
              <w:t>□ 供应商按不含税价开具符合要求的形式发票或增值税普通发票；</w:t>
            </w:r>
          </w:p>
          <w:p>
            <w:pPr>
              <w:spacing w:before="120" w:beforeLines="50" w:after="120" w:afterLines="50"/>
              <w:ind w:left="228" w:leftChars="103" w:hanging="12" w:hangingChars="5"/>
              <w:rPr>
                <w:rFonts w:ascii="宋体" w:hAnsi="宋体"/>
                <w:b/>
                <w:bCs/>
                <w:sz w:val="24"/>
              </w:rPr>
            </w:pPr>
            <w:r>
              <w:rPr>
                <w:rFonts w:hint="eastAsia" w:ascii="宋体" w:hAnsi="宋体"/>
                <w:sz w:val="24"/>
              </w:rPr>
              <w:t>□ 采购方要求的其他发票形式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w:t>
            </w:r>
            <w:r>
              <w:rPr>
                <w:rFonts w:hint="eastAsia" w:ascii="宋体" w:hAnsi="宋体"/>
                <w:sz w:val="24"/>
              </w:rPr>
              <w:t>7</w:t>
            </w:r>
          </w:p>
        </w:tc>
        <w:tc>
          <w:tcPr>
            <w:tcW w:w="1695" w:type="dxa"/>
            <w:vAlign w:val="center"/>
          </w:tcPr>
          <w:p>
            <w:pPr>
              <w:autoSpaceDE w:val="0"/>
              <w:autoSpaceDN w:val="0"/>
              <w:jc w:val="center"/>
              <w:rPr>
                <w:rFonts w:ascii="宋体" w:hAnsi="宋体"/>
                <w:sz w:val="24"/>
              </w:rPr>
            </w:pPr>
            <w:r>
              <w:rPr>
                <w:rFonts w:hint="eastAsia" w:ascii="宋体" w:hAnsi="宋体"/>
                <w:sz w:val="24"/>
              </w:rPr>
              <w:t>报价</w:t>
            </w:r>
          </w:p>
        </w:tc>
        <w:tc>
          <w:tcPr>
            <w:tcW w:w="6604" w:type="dxa"/>
            <w:vAlign w:val="center"/>
          </w:tcPr>
          <w:p>
            <w:pPr>
              <w:numPr>
                <w:ilvl w:val="0"/>
                <w:numId w:val="12"/>
              </w:numPr>
              <w:autoSpaceDE w:val="0"/>
              <w:autoSpaceDN w:val="0"/>
              <w:spacing w:before="120" w:beforeLines="50" w:after="120" w:afterLines="50"/>
              <w:jc w:val="left"/>
              <w:rPr>
                <w:rFonts w:ascii="宋体" w:hAnsi="宋体"/>
                <w:sz w:val="24"/>
              </w:rPr>
            </w:pPr>
            <w:r>
              <w:rPr>
                <w:sz w:val="24"/>
              </w:rPr>
              <w:t>本项目报价应包括以下内容：</w:t>
            </w:r>
          </w:p>
          <w:p>
            <w:pPr>
              <w:autoSpaceDE w:val="0"/>
              <w:autoSpaceDN w:val="0"/>
              <w:spacing w:before="120" w:beforeLines="50" w:after="120" w:afterLines="50"/>
              <w:ind w:firstLine="480" w:firstLineChars="200"/>
              <w:jc w:val="left"/>
              <w:rPr>
                <w:rFonts w:ascii="宋体" w:hAnsi="宋体"/>
                <w:sz w:val="24"/>
              </w:rPr>
            </w:pPr>
            <w:r>
              <w:rPr>
                <w:rFonts w:hint="eastAsia"/>
                <w:sz w:val="24"/>
              </w:rPr>
              <w:t>__</w:t>
            </w:r>
            <w:r>
              <w:rPr>
                <w:rFonts w:hint="eastAsia"/>
                <w:sz w:val="24"/>
                <w:u w:val="single"/>
              </w:rPr>
              <w:t>完成本项目的所有所需费用，不包含配件采购费用。</w:t>
            </w:r>
            <w:r>
              <w:rPr>
                <w:rFonts w:hint="eastAsia"/>
                <w:sz w:val="24"/>
              </w:rPr>
              <w:t xml:space="preserve"> </w:t>
            </w:r>
          </w:p>
          <w:p>
            <w:pPr>
              <w:numPr>
                <w:ilvl w:val="0"/>
                <w:numId w:val="12"/>
              </w:numPr>
              <w:autoSpaceDE w:val="0"/>
              <w:autoSpaceDN w:val="0"/>
              <w:spacing w:before="120" w:beforeLines="50" w:after="120" w:afterLines="50"/>
              <w:jc w:val="left"/>
              <w:rPr>
                <w:rFonts w:ascii="宋体" w:hAnsi="宋体"/>
                <w:sz w:val="24"/>
              </w:rPr>
            </w:pPr>
            <w:r>
              <w:rPr>
                <w:rFonts w:hint="eastAsia" w:ascii="宋体" w:hAnsi="宋体"/>
                <w:sz w:val="24"/>
              </w:rPr>
              <w:t>响应单位须在分项报价表（见附件）中分别报出以上各部分价格。响应单位根据报价需要可对“分项报价表”进行扩展。</w:t>
            </w:r>
          </w:p>
          <w:p>
            <w:pPr>
              <w:numPr>
                <w:ilvl w:val="0"/>
                <w:numId w:val="12"/>
              </w:numPr>
              <w:autoSpaceDE w:val="0"/>
              <w:autoSpaceDN w:val="0"/>
              <w:spacing w:before="120" w:beforeLines="50" w:after="120" w:afterLines="50"/>
              <w:jc w:val="left"/>
              <w:rPr>
                <w:rFonts w:ascii="宋体" w:hAnsi="宋体"/>
                <w:sz w:val="24"/>
              </w:rPr>
            </w:pPr>
            <w:r>
              <w:rPr>
                <w:sz w:val="24"/>
              </w:rPr>
              <w:t>报价应是本项目范围内全部工作内容的价格体现，应包含所涉及的一切相关费用，若有遗漏，</w:t>
            </w:r>
            <w:r>
              <w:rPr>
                <w:rFonts w:hint="eastAsia"/>
                <w:sz w:val="24"/>
              </w:rPr>
              <w:t>客服</w:t>
            </w:r>
            <w:r>
              <w:rPr>
                <w:sz w:val="24"/>
              </w:rPr>
              <w:t>公司视作</w:t>
            </w:r>
            <w:r>
              <w:rPr>
                <w:rFonts w:hint="eastAsia"/>
                <w:sz w:val="24"/>
              </w:rPr>
              <w:t>响应单位</w:t>
            </w:r>
            <w:r>
              <w:rPr>
                <w:sz w:val="24"/>
              </w:rPr>
              <w:t>已考虑让利，费用不予增加。</w:t>
            </w:r>
          </w:p>
          <w:p>
            <w:pPr>
              <w:numPr>
                <w:ilvl w:val="0"/>
                <w:numId w:val="12"/>
              </w:numPr>
              <w:autoSpaceDE w:val="0"/>
              <w:autoSpaceDN w:val="0"/>
              <w:spacing w:before="120" w:beforeLines="50" w:after="120" w:afterLines="5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pPr>
              <w:numPr>
                <w:ilvl w:val="0"/>
                <w:numId w:val="13"/>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）若中标，则将在报价基础上降价</w:t>
            </w:r>
          </w:p>
          <w:p>
            <w:pPr>
              <w:numPr>
                <w:ilvl w:val="0"/>
                <w:numId w:val="13"/>
              </w:numPr>
              <w:tabs>
                <w:tab w:val="left" w:pos="312"/>
              </w:tabs>
              <w:spacing w:before="120" w:beforeLines="50" w:after="120" w:afterLines="50"/>
              <w:ind w:left="420" w:leftChars="200"/>
              <w:rPr>
                <w:rFonts w:ascii="宋体" w:hAnsi="宋体"/>
                <w:sz w:val="24"/>
              </w:rPr>
            </w:pPr>
            <w:r>
              <w:rPr>
                <w:sz w:val="24"/>
              </w:rPr>
              <w:t>我方（</w:t>
            </w:r>
            <w:r>
              <w:rPr>
                <w:rFonts w:hint="eastAsia"/>
                <w:sz w:val="24"/>
              </w:rPr>
              <w:t>响应单位</w:t>
            </w:r>
            <w:r>
              <w:rPr>
                <w:sz w:val="24"/>
              </w:rPr>
              <w:t>）若中标某几个项目，则这几个项目将在报价基础上降价</w:t>
            </w:r>
          </w:p>
          <w:p>
            <w:pPr>
              <w:numPr>
                <w:ilvl w:val="0"/>
                <w:numId w:val="13"/>
              </w:numPr>
              <w:tabs>
                <w:tab w:val="left" w:pos="312"/>
              </w:tabs>
              <w:spacing w:before="120" w:beforeLines="50" w:after="120" w:afterLines="50"/>
              <w:ind w:left="420" w:leftChars="200"/>
              <w:rPr>
                <w:rFonts w:ascii="宋体" w:hAnsi="宋体"/>
                <w:sz w:val="24"/>
              </w:rPr>
            </w:pPr>
            <w:r>
              <w:rPr>
                <w:sz w:val="24"/>
              </w:rPr>
              <w:t>我方（</w:t>
            </w:r>
            <w:r>
              <w:rPr>
                <w:rFonts w:hint="eastAsia"/>
                <w:sz w:val="24"/>
              </w:rPr>
              <w:t>响应单位</w:t>
            </w:r>
            <w:r>
              <w:rPr>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8</w:t>
            </w:r>
          </w:p>
        </w:tc>
        <w:tc>
          <w:tcPr>
            <w:tcW w:w="1695" w:type="dxa"/>
            <w:vAlign w:val="center"/>
          </w:tcPr>
          <w:p>
            <w:pPr>
              <w:autoSpaceDE w:val="0"/>
              <w:autoSpaceDN w:val="0"/>
              <w:jc w:val="center"/>
              <w:rPr>
                <w:rFonts w:ascii="宋体" w:hAnsi="宋体"/>
                <w:sz w:val="24"/>
              </w:rPr>
            </w:pPr>
            <w:r>
              <w:rPr>
                <w:rFonts w:hint="eastAsia" w:ascii="宋体" w:hAnsi="宋体"/>
                <w:sz w:val="24"/>
              </w:rPr>
              <w:t>其他商务要求</w:t>
            </w:r>
          </w:p>
        </w:tc>
        <w:tc>
          <w:tcPr>
            <w:tcW w:w="6604" w:type="dxa"/>
            <w:vAlign w:val="center"/>
          </w:tcPr>
          <w:p>
            <w:pPr>
              <w:autoSpaceDE w:val="0"/>
              <w:autoSpaceDN w:val="0"/>
              <w:spacing w:before="120" w:beforeLines="50" w:after="120" w:afterLines="50"/>
              <w:ind w:left="218" w:leftChars="104"/>
              <w:jc w:val="left"/>
              <w:rPr>
                <w:sz w:val="24"/>
              </w:rPr>
            </w:pPr>
            <w:r>
              <w:rPr>
                <w:rFonts w:hint="eastAsia" w:ascii="宋体" w:hAnsi="宋体" w:cs="宋体"/>
                <w:sz w:val="24"/>
              </w:rPr>
              <w:t>*</w:t>
            </w:r>
            <w:r>
              <w:rPr>
                <w:rFonts w:hint="eastAsia"/>
                <w:sz w:val="24"/>
              </w:rPr>
              <w:t>1.项目不允许联合体报价，不得转让、分包；</w:t>
            </w:r>
          </w:p>
          <w:p>
            <w:pPr>
              <w:autoSpaceDE w:val="0"/>
              <w:autoSpaceDN w:val="0"/>
              <w:spacing w:before="120" w:beforeLines="50" w:after="120" w:afterLines="50"/>
              <w:ind w:left="218" w:leftChars="104"/>
              <w:jc w:val="left"/>
              <w:rPr>
                <w:rFonts w:ascii="宋体" w:hAnsi="宋体"/>
                <w:sz w:val="24"/>
              </w:rPr>
            </w:pPr>
            <w:r>
              <w:rPr>
                <w:rFonts w:hint="eastAsia" w:ascii="宋体" w:hAnsi="宋体" w:cs="宋体"/>
                <w:sz w:val="24"/>
              </w:rPr>
              <w:t>*</w:t>
            </w:r>
            <w:r>
              <w:rPr>
                <w:rFonts w:hint="eastAsia" w:ascii="宋体" w:hAnsi="宋体"/>
                <w:sz w:val="24"/>
              </w:rPr>
              <w:t>2.在签署本项目合同及履行本项目义务时无任何法律障碍和重大事件影响供应商继续正常存续和全面履行本项目合同的能力，未被列入全国失信被执行人名单。</w:t>
            </w:r>
          </w:p>
          <w:p>
            <w:pPr>
              <w:autoSpaceDE w:val="0"/>
              <w:autoSpaceDN w:val="0"/>
              <w:spacing w:before="120" w:beforeLines="50" w:after="120" w:afterLines="50"/>
              <w:ind w:left="218" w:leftChars="104"/>
              <w:jc w:val="left"/>
              <w:rPr>
                <w:rFonts w:ascii="宋体" w:hAnsi="宋体"/>
                <w:sz w:val="24"/>
              </w:rPr>
            </w:pPr>
          </w:p>
        </w:tc>
      </w:tr>
      <w:bookmarkEnd w:id="13"/>
    </w:tbl>
    <w:p>
      <w:pPr>
        <w:jc w:val="center"/>
        <w:outlineLvl w:val="0"/>
        <w:rPr>
          <w:rFonts w:ascii="方正小标宋简体" w:hAnsi="方正小标宋简体" w:eastAsia="方正小标宋简体" w:cs="方正小标宋简体"/>
          <w:b/>
          <w:color w:val="000000"/>
          <w:sz w:val="36"/>
          <w:szCs w:val="36"/>
        </w:rPr>
        <w:sectPr>
          <w:pgSz w:w="11906" w:h="16838"/>
          <w:pgMar w:top="1803" w:right="1440" w:bottom="1803" w:left="1440" w:header="851" w:footer="992" w:gutter="0"/>
          <w:cols w:space="720" w:num="1"/>
          <w:docGrid w:linePitch="315" w:charSpace="0"/>
        </w:sectPr>
      </w:pPr>
      <w:bookmarkStart w:id="18" w:name="_Toc28157_WPSOffice_Level1"/>
    </w:p>
    <w:p>
      <w:pPr>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第五章  服务要求</w:t>
      </w:r>
      <w:bookmarkEnd w:id="18"/>
    </w:p>
    <w:p>
      <w:pPr>
        <w:widowControl/>
        <w:ind w:firstLine="602" w:firstLineChars="200"/>
        <w:jc w:val="center"/>
        <w:rPr>
          <w:rFonts w:ascii="宋体" w:hAnsi="宋体"/>
          <w:b/>
          <w:bCs/>
          <w:kern w:val="44"/>
          <w:sz w:val="30"/>
          <w:szCs w:val="30"/>
        </w:rPr>
      </w:pPr>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本章序号标注“*”号的均为关键服务要求，对这些条款的不响应将导致响应文件被否决。响应单位应提供相应的服务方案描述或证明材料。</w:t>
      </w:r>
    </w:p>
    <w:p>
      <w:pPr>
        <w:spacing w:line="400" w:lineRule="exact"/>
        <w:outlineLvl w:val="1"/>
        <w:rPr>
          <w:sz w:val="24"/>
        </w:rPr>
      </w:pPr>
      <w:r>
        <w:rPr>
          <w:rFonts w:hint="eastAsia"/>
          <w:sz w:val="24"/>
        </w:rPr>
        <w:t>一、服务期限和地点</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服务期限：合同生效后两年。</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服务地点：上海飞机客户服务有限公司（上海市闵行区江川东路100号）及各分公司、办事处、外场保障现场，包括并不限于嘉兴、乌鲁木齐、成都、呼和浩特、南昌、广州、重庆、北京等地。</w:t>
      </w:r>
    </w:p>
    <w:p>
      <w:pPr>
        <w:spacing w:line="210" w:lineRule="exact"/>
        <w:rPr>
          <w:rFonts w:ascii="宋体" w:hAnsi="宋体" w:cs="宋体"/>
          <w:sz w:val="23"/>
          <w:szCs w:val="23"/>
        </w:rPr>
      </w:pPr>
    </w:p>
    <w:p>
      <w:pPr>
        <w:spacing w:line="400" w:lineRule="exact"/>
        <w:outlineLvl w:val="1"/>
        <w:rPr>
          <w:sz w:val="24"/>
        </w:rPr>
      </w:pPr>
      <w:bookmarkStart w:id="19" w:name="_Toc10626"/>
      <w:bookmarkStart w:id="20" w:name="_Toc310259411"/>
      <w:bookmarkStart w:id="21" w:name="_Toc310164641"/>
      <w:r>
        <w:rPr>
          <w:rFonts w:hint="eastAsia"/>
          <w:sz w:val="24"/>
        </w:rPr>
        <w:t>二、</w:t>
      </w:r>
      <w:bookmarkEnd w:id="19"/>
      <w:bookmarkEnd w:id="20"/>
      <w:bookmarkEnd w:id="21"/>
      <w:r>
        <w:rPr>
          <w:rFonts w:hint="eastAsia"/>
          <w:sz w:val="24"/>
        </w:rPr>
        <w:t>服务内容</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运维上海飞机客户服务有限公司目前在用的，且运行正常和功能正常的全部不在保修期内IT硬件设备（包括台式机、工作站、笔记本、平板电脑、桌面打印机等相关设备）（目前在用设备数量为台式机334台、工作站2061台、笔记本658台、平板电脑435台、打印机</w:t>
      </w:r>
      <w:r>
        <w:rPr>
          <w:rFonts w:asciiTheme="minorEastAsia" w:hAnsiTheme="minorEastAsia" w:eastAsiaTheme="minorEastAsia" w:cstheme="minorEastAsia"/>
          <w:sz w:val="24"/>
        </w:rPr>
        <w:t>112台</w:t>
      </w:r>
      <w:r>
        <w:rPr>
          <w:rFonts w:hint="eastAsia" w:asciiTheme="minorEastAsia" w:hAnsiTheme="minorEastAsia" w:eastAsiaTheme="minorEastAsia" w:cstheme="minorEastAsia"/>
          <w:sz w:val="24"/>
        </w:rPr>
        <w:t xml:space="preserve">）。涉密IT设备除外。 </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与IT设备相连的附属配件或设备（如鼠标、键盘、数据线、电池、电源适配器等）。</w:t>
      </w:r>
    </w:p>
    <w:p>
      <w:pPr>
        <w:spacing w:line="400" w:lineRule="exact"/>
        <w:outlineLvl w:val="1"/>
        <w:rPr>
          <w:sz w:val="24"/>
        </w:rPr>
      </w:pPr>
      <w:r>
        <w:rPr>
          <w:rFonts w:hint="eastAsia" w:asciiTheme="minorEastAsia" w:hAnsiTheme="minorEastAsia" w:eastAsiaTheme="minorEastAsia" w:cstheme="minorEastAsia"/>
          <w:sz w:val="24"/>
        </w:rPr>
        <w:t>*</w:t>
      </w:r>
      <w:r>
        <w:rPr>
          <w:rFonts w:hint="eastAsia"/>
          <w:sz w:val="24"/>
        </w:rPr>
        <w:t>三、服务要求</w:t>
      </w:r>
    </w:p>
    <w:p>
      <w:pPr>
        <w:pStyle w:val="52"/>
        <w:numPr>
          <w:ilvl w:val="0"/>
          <w:numId w:val="14"/>
        </w:numPr>
        <w:spacing w:line="500" w:lineRule="exact"/>
        <w:ind w:left="0"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范围内的所有需要维修的设备提供所需的维修配件、更换配件和配件安装服务，且配件必须均为原装正品非次品（并提供一年的保修）。IT硬件设备零星维修服务需更换的配件价格参考京东自营的实时价格，不得高于京东自营的实时价格。京东自营没有相类似报价的，参照其他平台类似报价，原则上不高于原厂配件报价。所有需要更换的配件的价格需经过委托方同意后进行更换。</w:t>
      </w:r>
      <w:r>
        <w:rPr>
          <w:rFonts w:hint="eastAsia" w:ascii="宋体" w:hAnsi="宋体" w:cs="Arial"/>
          <w:kern w:val="0"/>
          <w:sz w:val="24"/>
        </w:rPr>
        <w:t>其他维修项目和上门费用以分项报价表为准；</w:t>
      </w:r>
    </w:p>
    <w:p>
      <w:pPr>
        <w:pStyle w:val="52"/>
        <w:numPr>
          <w:ilvl w:val="0"/>
          <w:numId w:val="14"/>
        </w:numPr>
        <w:spacing w:line="500" w:lineRule="exact"/>
        <w:ind w:left="0"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接到委托方通知后两个工作日内安排硬件维修上门服务，若无法现场修理则需由报价人将需要维修的设备带回并在十个工作日内完成维修并交还委托方（若遇特殊情况无法在限定期限内完成维修则需与委托人协商维修日期）（由于过保机器大部分配件订购相对困难，在收到备件2个工作日内完成维修）；</w:t>
      </w:r>
    </w:p>
    <w:p>
      <w:pPr>
        <w:pStyle w:val="52"/>
        <w:numPr>
          <w:ilvl w:val="0"/>
          <w:numId w:val="14"/>
        </w:numPr>
        <w:spacing w:line="500" w:lineRule="exact"/>
        <w:ind w:left="0"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报价人须提供维修应急响应服务，一旦委托方有急需维修的设备时，需在两小时内上门进行设备的故障排查并提供应急方案；</w:t>
      </w:r>
    </w:p>
    <w:p>
      <w:pPr>
        <w:pStyle w:val="52"/>
        <w:numPr>
          <w:ilvl w:val="0"/>
          <w:numId w:val="14"/>
        </w:numPr>
        <w:spacing w:line="500" w:lineRule="exact"/>
        <w:ind w:left="0" w:firstLine="480"/>
        <w:jc w:val="left"/>
        <w:rPr>
          <w:rFonts w:asciiTheme="minorEastAsia" w:hAnsiTheme="minorEastAsia" w:eastAsiaTheme="minorEastAsia" w:cstheme="minorEastAsia"/>
          <w:sz w:val="24"/>
        </w:rPr>
        <w:sectPr>
          <w:pgSz w:w="11906" w:h="16838"/>
          <w:pgMar w:top="1803" w:right="1440" w:bottom="1803" w:left="1440" w:header="851" w:footer="992" w:gutter="0"/>
          <w:cols w:space="720" w:num="1"/>
          <w:docGrid w:linePitch="315" w:charSpace="0"/>
        </w:sectPr>
      </w:pPr>
      <w:r>
        <w:rPr>
          <w:rFonts w:hint="eastAsia" w:asciiTheme="minorEastAsia" w:hAnsiTheme="minorEastAsia" w:eastAsiaTheme="minorEastAsia" w:cstheme="minorEastAsia"/>
          <w:sz w:val="24"/>
        </w:rPr>
        <w:t>结算时需提供结算周期的维修项目及上门服务次数的清单给委托方进行审核。</w:t>
      </w:r>
    </w:p>
    <w:p>
      <w:pPr>
        <w:spacing w:line="500" w:lineRule="exact"/>
        <w:jc w:val="left"/>
        <w:rPr>
          <w:rFonts w:asciiTheme="minorEastAsia" w:hAnsiTheme="minorEastAsia" w:eastAsiaTheme="minorEastAsia" w:cstheme="minorEastAsia"/>
          <w:sz w:val="24"/>
        </w:rPr>
      </w:pPr>
    </w:p>
    <w:bookmarkEnd w:id="14"/>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ascii="方正小标宋简体" w:hAnsi="方正小标宋简体" w:eastAsia="方正小标宋简体" w:cs="方正小标宋简体"/>
          <w:b/>
          <w:color w:val="000000"/>
          <w:sz w:val="36"/>
          <w:szCs w:val="36"/>
        </w:rPr>
      </w:pPr>
      <w:bookmarkStart w:id="22" w:name="_Toc7733_WPSOffice_Level1"/>
      <w:r>
        <w:rPr>
          <w:rFonts w:hint="eastAsia" w:ascii="方正小标宋简体" w:hAnsi="方正小标宋简体" w:eastAsia="方正小标宋简体" w:cs="方正小标宋简体"/>
          <w:b/>
          <w:color w:val="000000"/>
          <w:sz w:val="36"/>
          <w:szCs w:val="36"/>
        </w:rPr>
        <w:t xml:space="preserve">  第六章 附件</w:t>
      </w:r>
      <w:bookmarkEnd w:id="22"/>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一、竞争性谈判响应声明</w:t>
      </w:r>
    </w:p>
    <w:p>
      <w:pPr>
        <w:adjustRightInd w:val="0"/>
        <w:snapToGrid w:val="0"/>
        <w:spacing w:line="360" w:lineRule="auto"/>
        <w:jc w:val="center"/>
        <w:rPr>
          <w:rFonts w:ascii="黑体" w:hAnsi="宋体" w:eastAsia="黑体"/>
          <w:sz w:val="30"/>
          <w:szCs w:val="30"/>
        </w:rPr>
      </w:pP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rPr>
        <w:t>竞争性谈判响应声明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桌面终端及备品备件运维服务       </w:t>
      </w:r>
      <w:r>
        <w:rPr>
          <w:rFonts w:hint="eastAsia" w:ascii="宋体" w:hAnsi="宋体"/>
        </w:rPr>
        <w:t>竞争性谈判邀请文件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rPr>
        <w:t>______（币种）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rPr>
        <w:t>竞争性谈判采购文件</w:t>
      </w:r>
      <w:r>
        <w:rPr>
          <w:rFonts w:ascii="宋体" w:hAnsi="宋体"/>
        </w:rPr>
        <w:t>（含补充文件）的要求承担本</w:t>
      </w:r>
      <w:r>
        <w:rPr>
          <w:rFonts w:hint="eastAsia" w:ascii="宋体" w:hAnsi="宋体"/>
        </w:rPr>
        <w:t>竞争性谈判</w:t>
      </w:r>
      <w:r>
        <w:rPr>
          <w:rFonts w:ascii="宋体" w:hAnsi="宋体"/>
        </w:rPr>
        <w:t>项目的实施，完成本次</w:t>
      </w:r>
      <w:r>
        <w:rPr>
          <w:rFonts w:hint="eastAsia" w:ascii="宋体" w:hAnsi="宋体"/>
        </w:rPr>
        <w:t>竞争性谈判</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rPr>
        <w:t>服务期限</w:t>
      </w:r>
      <w:r>
        <w:rPr>
          <w:rFonts w:ascii="宋体" w:hAnsi="宋体"/>
        </w:rPr>
        <w:t>内完成本</w:t>
      </w:r>
      <w:r>
        <w:rPr>
          <w:rFonts w:hint="eastAsia" w:ascii="宋体" w:hAnsi="宋体"/>
        </w:rPr>
        <w:t>竞争性谈判</w:t>
      </w:r>
      <w:r>
        <w:rPr>
          <w:rFonts w:ascii="宋体" w:hAnsi="宋体"/>
        </w:rPr>
        <w:t>项目的全部工作内容，并达到</w:t>
      </w:r>
      <w:r>
        <w:rPr>
          <w:rFonts w:hint="eastAsia" w:ascii="宋体" w:hAnsi="宋体"/>
        </w:rPr>
        <w:t>竞争性谈判</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b/>
          <w:bCs/>
          <w:u w:val="single"/>
        </w:rPr>
        <w:t>180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ascii="宋体" w:hAnsi="宋体"/>
        </w:rPr>
      </w:pPr>
      <w:r>
        <w:rPr>
          <w:rFonts w:hint="eastAsia" w:ascii="宋体" w:hAnsi="宋体"/>
        </w:rPr>
        <w:t>8</w:t>
      </w:r>
      <w:r>
        <w:rPr>
          <w:rFonts w:ascii="宋体" w:hAnsi="宋体"/>
        </w:rPr>
        <w:t>、</w:t>
      </w:r>
      <w:r>
        <w:rPr>
          <w:rFonts w:hint="eastAsia" w:ascii="宋体" w:hAnsi="宋体"/>
        </w:rPr>
        <w:t>我方承诺，我方参与客服公司竞争性谈判项目，严格遵守法律法规、客服公司规章制度和竞争性谈判</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ascii="宋体" w:hAnsi="宋体"/>
        </w:rPr>
      </w:pPr>
      <w:r>
        <w:rPr>
          <w:rFonts w:hint="eastAsia" w:ascii="宋体" w:hAnsi="宋体"/>
        </w:rPr>
        <w:t>9、我方承诺，未经客服公司书面同意，</w:t>
      </w:r>
      <w:r>
        <w:rPr>
          <w:rFonts w:hint="eastAsia"/>
        </w:rPr>
        <w:t>不得擅自接受媒体采访、不得擅自允许媒体拍摄中国商飞型号有关画面，不得擅自通过公司网站、微信、微博等网络平台，以及员工个人对外社交平台，对外发布与合作内容有关的所有信息。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ascii="宋体" w:hAnsi="宋体"/>
        </w:rPr>
      </w:pPr>
      <w:r>
        <w:rPr>
          <w:rFonts w:hint="eastAsia" w:ascii="宋体" w:hAnsi="宋体"/>
        </w:rPr>
        <w:t>10、我方承诺，未经客服公司书面同意，</w:t>
      </w:r>
      <w:r>
        <w:rPr>
          <w:rFonts w:hint="eastAsia"/>
        </w:rPr>
        <w:t>不得在对外发布时使用、复制和伪造委托方及中国商飞已申请或注册的商标，包括委托方中国商飞公司名称、相关标识及项目名称，或与飞机、产品或服务有关的标识；</w:t>
      </w:r>
    </w:p>
    <w:p>
      <w:pPr>
        <w:adjustRightInd w:val="0"/>
        <w:snapToGrid w:val="0"/>
        <w:spacing w:line="360" w:lineRule="auto"/>
        <w:ind w:firstLine="420" w:firstLineChars="200"/>
        <w:rPr>
          <w:rFonts w:ascii="宋体" w:hAnsi="宋体"/>
        </w:rPr>
      </w:pPr>
      <w:r>
        <w:rPr>
          <w:rFonts w:hint="eastAsia" w:ascii="宋体" w:hAnsi="宋体"/>
        </w:rPr>
        <w:t>11、</w:t>
      </w:r>
      <w:r>
        <w:rPr>
          <w:rFonts w:ascii="宋体" w:hAnsi="宋体"/>
        </w:rPr>
        <w:t>我</w:t>
      </w:r>
      <w:r>
        <w:rPr>
          <w:rFonts w:hint="eastAsia" w:ascii="宋体" w:hAnsi="宋体"/>
        </w:rPr>
        <w:t>方（二选一）：</w:t>
      </w:r>
    </w:p>
    <w:p>
      <w:pPr>
        <w:adjustRightInd w:val="0"/>
        <w:snapToGrid w:val="0"/>
        <w:spacing w:line="360" w:lineRule="auto"/>
        <w:rPr>
          <w:rFonts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pPr>
      <w:r>
        <w:rPr>
          <w:rFonts w:ascii="宋体" w:hAnsi="宋体"/>
        </w:rPr>
        <w:t xml:space="preserve">                                                          年    月    日</w:t>
      </w:r>
    </w:p>
    <w:p>
      <w:pPr>
        <w:adjustRightInd w:val="0"/>
        <w:snapToGrid w:val="0"/>
        <w:spacing w:line="360" w:lineRule="auto"/>
        <w:jc w:val="right"/>
        <w:rPr>
          <w:rFonts w:ascii="宋体" w:hAnsi="宋体"/>
        </w:rPr>
      </w:pPr>
      <w:r>
        <w:rPr>
          <w:rFonts w:hint="eastAsia" w:ascii="宋体" w:hAnsi="宋体"/>
        </w:rPr>
        <w:br w:type="page"/>
      </w:r>
    </w:p>
    <w:p>
      <w:pPr>
        <w:adjustRightInd w:val="0"/>
        <w:snapToGrid w:val="0"/>
        <w:spacing w:line="360" w:lineRule="auto"/>
        <w:outlineLvl w:val="1"/>
        <w:rPr>
          <w:rFonts w:ascii="黑体" w:hAnsi="宋体" w:eastAsia="黑体"/>
          <w:sz w:val="30"/>
          <w:szCs w:val="30"/>
        </w:rPr>
      </w:pPr>
      <w:bookmarkStart w:id="23" w:name="_Hlk35922021"/>
      <w:r>
        <w:rPr>
          <w:rFonts w:hint="eastAsia" w:ascii="黑体" w:hAnsi="宋体" w:eastAsia="黑体"/>
          <w:sz w:val="30"/>
          <w:szCs w:val="30"/>
        </w:rPr>
        <w:t>二、</w:t>
      </w:r>
      <w:bookmarkEnd w:id="23"/>
      <w:r>
        <w:rPr>
          <w:rFonts w:hint="eastAsia" w:ascii="黑体" w:hAnsi="宋体" w:eastAsia="黑体"/>
          <w:sz w:val="30"/>
          <w:szCs w:val="30"/>
        </w:rPr>
        <w:t>报价表</w:t>
      </w:r>
    </w:p>
    <w:p>
      <w:pPr>
        <w:adjustRightInd w:val="0"/>
        <w:snapToGrid w:val="0"/>
        <w:spacing w:line="360" w:lineRule="auto"/>
        <w:outlineLvl w:val="1"/>
        <w:rPr>
          <w:rFonts w:ascii="宋体" w:hAnsi="宋体"/>
          <w:sz w:val="28"/>
          <w:szCs w:val="28"/>
        </w:rPr>
      </w:pPr>
      <w:r>
        <w:rPr>
          <w:rFonts w:hint="eastAsia" w:ascii="宋体" w:hAnsi="宋体"/>
          <w:sz w:val="28"/>
          <w:szCs w:val="28"/>
        </w:rPr>
        <w:t>1、报价一览表</w:t>
      </w:r>
    </w:p>
    <w:tbl>
      <w:tblPr>
        <w:tblStyle w:val="33"/>
        <w:tblW w:w="9618" w:type="dxa"/>
        <w:jc w:val="center"/>
        <w:tblInd w:w="-5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2862"/>
        <w:gridCol w:w="3333"/>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480"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rPr>
            </w:pPr>
            <w:r>
              <w:rPr>
                <w:rFonts w:hint="eastAsia" w:ascii="宋体" w:hAnsi="宋体" w:cs="宋体"/>
              </w:rPr>
              <w:t>序号</w:t>
            </w:r>
          </w:p>
        </w:tc>
        <w:tc>
          <w:tcPr>
            <w:tcW w:w="2862"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rPr>
            </w:pPr>
            <w:r>
              <w:rPr>
                <w:rFonts w:hint="eastAsia" w:ascii="宋体"/>
              </w:rPr>
              <w:t>项目</w:t>
            </w:r>
          </w:p>
        </w:tc>
        <w:tc>
          <w:tcPr>
            <w:tcW w:w="3333" w:type="dxa"/>
            <w:tcBorders>
              <w:top w:val="double" w:color="auto" w:sz="4" w:space="0"/>
              <w:left w:val="single" w:color="auto" w:sz="6" w:space="0"/>
              <w:bottom w:val="single" w:color="auto" w:sz="6" w:space="0"/>
              <w:right w:val="single" w:color="auto" w:sz="4" w:space="0"/>
            </w:tcBorders>
            <w:vAlign w:val="center"/>
          </w:tcPr>
          <w:p>
            <w:pPr>
              <w:adjustRightInd w:val="0"/>
              <w:snapToGrid w:val="0"/>
              <w:ind w:left="-88" w:leftChars="-42"/>
              <w:jc w:val="center"/>
              <w:rPr>
                <w:rFonts w:ascii="宋体"/>
              </w:rPr>
            </w:pPr>
            <w:r>
              <w:rPr>
                <w:rFonts w:hint="eastAsia" w:ascii="宋体"/>
              </w:rPr>
              <w:t>价格（元）</w:t>
            </w:r>
          </w:p>
        </w:tc>
        <w:tc>
          <w:tcPr>
            <w:tcW w:w="1943" w:type="dxa"/>
            <w:tcBorders>
              <w:top w:val="double" w:color="auto" w:sz="4" w:space="0"/>
              <w:left w:val="single" w:color="auto" w:sz="4" w:space="0"/>
              <w:bottom w:val="single" w:color="auto" w:sz="6" w:space="0"/>
              <w:right w:val="double" w:color="auto" w:sz="4" w:space="0"/>
            </w:tcBorders>
            <w:vAlign w:val="center"/>
          </w:tcPr>
          <w:p>
            <w:pPr>
              <w:adjustRightInd w:val="0"/>
              <w:snapToGrid w:val="0"/>
              <w:ind w:left="-88" w:leftChars="-42"/>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rPr>
            </w:pPr>
            <w:r>
              <w:rPr>
                <w:rFonts w:ascii="宋体" w:hAnsi="宋体" w:cs="宋体"/>
              </w:rPr>
              <w:t>1</w:t>
            </w:r>
          </w:p>
        </w:tc>
        <w:tc>
          <w:tcPr>
            <w:tcW w:w="286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rPr>
            </w:pPr>
            <w:r>
              <w:rPr>
                <w:rFonts w:hint="eastAsia" w:ascii="宋体"/>
              </w:rPr>
              <w:t>桌面终端及备品备件</w:t>
            </w:r>
          </w:p>
          <w:p>
            <w:pPr>
              <w:adjustRightInd w:val="0"/>
              <w:snapToGrid w:val="0"/>
              <w:jc w:val="center"/>
              <w:rPr>
                <w:rFonts w:ascii="宋体"/>
              </w:rPr>
            </w:pPr>
            <w:r>
              <w:rPr>
                <w:rFonts w:hint="eastAsia" w:ascii="宋体"/>
              </w:rPr>
              <w:t>运维服务</w:t>
            </w:r>
          </w:p>
        </w:tc>
        <w:tc>
          <w:tcPr>
            <w:tcW w:w="3333" w:type="dxa"/>
            <w:tcBorders>
              <w:top w:val="single" w:color="auto" w:sz="6" w:space="0"/>
              <w:left w:val="single" w:color="auto" w:sz="6" w:space="0"/>
              <w:bottom w:val="single" w:color="auto" w:sz="6" w:space="0"/>
              <w:right w:val="single" w:color="auto" w:sz="4" w:space="0"/>
            </w:tcBorders>
            <w:vAlign w:val="center"/>
          </w:tcPr>
          <w:p>
            <w:pPr>
              <w:adjustRightInd w:val="0"/>
              <w:snapToGrid w:val="0"/>
              <w:ind w:left="-88" w:leftChars="-42"/>
              <w:jc w:val="center"/>
              <w:rPr>
                <w:rFonts w:ascii="宋体"/>
              </w:rPr>
            </w:pPr>
          </w:p>
        </w:tc>
        <w:tc>
          <w:tcPr>
            <w:tcW w:w="1943" w:type="dxa"/>
            <w:tcBorders>
              <w:top w:val="single" w:color="auto" w:sz="6" w:space="0"/>
              <w:left w:val="single" w:color="auto" w:sz="4" w:space="0"/>
              <w:bottom w:val="single" w:color="auto" w:sz="6" w:space="0"/>
              <w:right w:val="double" w:color="auto" w:sz="4" w:space="0"/>
            </w:tcBorders>
            <w:vAlign w:val="center"/>
          </w:tcPr>
          <w:p>
            <w:pPr>
              <w:adjustRightInd w:val="0"/>
              <w:snapToGrid w:val="0"/>
              <w:ind w:left="-88" w:leftChars="-42"/>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rPr>
            </w:pPr>
            <w:r>
              <w:rPr>
                <w:rFonts w:hint="eastAsia" w:ascii="宋体" w:hAnsi="宋体" w:cs="宋体"/>
              </w:rPr>
              <w:t>总价（人民币元，含税）</w:t>
            </w:r>
          </w:p>
        </w:tc>
        <w:tc>
          <w:tcPr>
            <w:tcW w:w="8138" w:type="dxa"/>
            <w:gridSpan w:val="3"/>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rPr>
            </w:pPr>
            <w:r>
              <w:rPr>
                <w:rFonts w:hint="eastAsia" w:ascii="宋体" w:hAnsi="宋体" w:cs="宋体"/>
              </w:rPr>
              <w:t>小写：</w:t>
            </w:r>
          </w:p>
          <w:p>
            <w:pPr>
              <w:adjustRightInd w:val="0"/>
              <w:snapToGrid w:val="0"/>
              <w:ind w:left="-88" w:leftChars="-42" w:firstLine="105" w:firstLineChars="50"/>
              <w:jc w:val="left"/>
              <w:rPr>
                <w:rFonts w:ascii="宋体"/>
              </w:rPr>
            </w:pPr>
            <w:r>
              <w:rPr>
                <w:rFonts w:hint="eastAsia" w:ascii="宋体" w:hAnsi="宋体" w:cs="宋体"/>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618" w:type="dxa"/>
            <w:gridSpan w:val="4"/>
            <w:tcBorders>
              <w:top w:val="single" w:color="auto" w:sz="6" w:space="0"/>
              <w:left w:val="double" w:color="auto" w:sz="4" w:space="0"/>
              <w:bottom w:val="double" w:color="auto" w:sz="4" w:space="0"/>
              <w:right w:val="double" w:color="auto" w:sz="4" w:space="0"/>
            </w:tcBorders>
            <w:vAlign w:val="center"/>
          </w:tcPr>
          <w:p>
            <w:pPr>
              <w:adjustRightInd w:val="0"/>
              <w:snapToGrid w:val="0"/>
              <w:ind w:left="-88" w:leftChars="-42" w:firstLine="420" w:firstLineChars="200"/>
              <w:jc w:val="left"/>
              <w:rPr>
                <w:rFonts w:ascii="宋体"/>
              </w:rPr>
            </w:pPr>
            <w:r>
              <w:rPr>
                <w:rFonts w:hint="eastAsia" w:ascii="宋体" w:hAnsi="宋体" w:cs="宋体"/>
              </w:rPr>
              <w:t>备注：</w:t>
            </w:r>
          </w:p>
        </w:tc>
      </w:tr>
    </w:tbl>
    <w:p>
      <w:pPr>
        <w:adjustRightInd w:val="0"/>
        <w:snapToGrid w:val="0"/>
        <w:spacing w:line="360" w:lineRule="auto"/>
        <w:ind w:left="-88" w:leftChars="-42"/>
        <w:rPr>
          <w:rFonts w:ascii="仿宋_GB2312" w:hAnsi="宋体" w:eastAsia="仿宋_GB2312"/>
          <w:b/>
          <w:szCs w:val="21"/>
        </w:rPr>
      </w:pPr>
    </w:p>
    <w:p>
      <w:pPr>
        <w:adjustRightInd w:val="0"/>
        <w:snapToGrid w:val="0"/>
        <w:spacing w:line="360" w:lineRule="auto"/>
        <w:ind w:left="-88" w:leftChars="-42"/>
        <w:rPr>
          <w:rFonts w:ascii="等线" w:hAnsi="等线"/>
          <w:szCs w:val="21"/>
        </w:rPr>
      </w:pPr>
      <w:r>
        <w:rPr>
          <w:rFonts w:hint="eastAsia" w:ascii="仿宋_GB2312" w:hAnsi="宋体" w:eastAsia="仿宋_GB2312"/>
          <w:b/>
          <w:szCs w:val="21"/>
        </w:rPr>
        <w:t>说明</w:t>
      </w:r>
      <w:r>
        <w:rPr>
          <w:rFonts w:hint="eastAsia" w:ascii="仿宋_GB2312" w:hAnsi="宋体" w:eastAsia="仿宋_GB2312"/>
          <w:szCs w:val="21"/>
        </w:rPr>
        <w:t>：</w:t>
      </w:r>
      <w:r>
        <w:rPr>
          <w:rFonts w:hint="eastAsia" w:ascii="等线" w:hAnsi="等线"/>
          <w:szCs w:val="21"/>
        </w:rPr>
        <w:t>（1）所有价格精确到小数点后2位。</w:t>
      </w:r>
    </w:p>
    <w:p>
      <w:pPr>
        <w:adjustRightInd w:val="0"/>
        <w:snapToGrid w:val="0"/>
        <w:spacing w:line="360" w:lineRule="auto"/>
        <w:ind w:firstLine="420" w:firstLineChars="200"/>
        <w:rPr>
          <w:rFonts w:ascii="等线" w:hAnsi="等线"/>
          <w:szCs w:val="21"/>
        </w:rPr>
      </w:pPr>
      <w:r>
        <w:rPr>
          <w:rFonts w:hint="eastAsia" w:ascii="等线" w:hAnsi="等线"/>
          <w:szCs w:val="21"/>
        </w:rPr>
        <w:t>（2）价格应按照竞争性谈判采购文件的要求报价。</w:t>
      </w:r>
    </w:p>
    <w:p>
      <w:pPr>
        <w:adjustRightInd w:val="0"/>
        <w:snapToGrid w:val="0"/>
        <w:spacing w:line="360" w:lineRule="auto"/>
        <w:ind w:firstLine="420" w:firstLineChars="200"/>
        <w:rPr>
          <w:rFonts w:ascii="等线" w:hAnsi="等线"/>
          <w:szCs w:val="21"/>
        </w:rPr>
      </w:pPr>
      <w:r>
        <w:rPr>
          <w:rFonts w:hint="eastAsia" w:ascii="等线" w:hAnsi="等线"/>
          <w:szCs w:val="21"/>
        </w:rPr>
        <w:t>（3）总价应与《分项价格表》中表1、表2与表3的总价相同。</w:t>
      </w:r>
    </w:p>
    <w:p>
      <w:pPr>
        <w:adjustRightInd w:val="0"/>
        <w:snapToGrid w:val="0"/>
        <w:spacing w:line="360" w:lineRule="auto"/>
        <w:ind w:firstLine="420" w:firstLineChars="200"/>
        <w:rPr>
          <w:rFonts w:ascii="等线" w:hAnsi="等线"/>
          <w:szCs w:val="21"/>
        </w:rPr>
      </w:pPr>
    </w:p>
    <w:p>
      <w:pPr>
        <w:adjustRightInd w:val="0"/>
        <w:snapToGrid w:val="0"/>
        <w:spacing w:line="360" w:lineRule="auto"/>
        <w:ind w:left="-88" w:leftChars="-42"/>
        <w:rPr>
          <w:rFonts w:ascii="仿宋_GB2312" w:hAnsi="宋体" w:eastAsia="仿宋_GB2312"/>
          <w:szCs w:val="21"/>
        </w:rPr>
      </w:pPr>
    </w:p>
    <w:p>
      <w:pPr>
        <w:adjustRightInd w:val="0"/>
        <w:snapToGrid w:val="0"/>
        <w:spacing w:line="360" w:lineRule="auto"/>
        <w:ind w:left="-88" w:leftChars="-42"/>
        <w:rPr>
          <w:rFonts w:ascii="宋体" w:hAnsi="宋体"/>
          <w:szCs w:val="21"/>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jc w:val="right"/>
        <w:rPr>
          <w:rFonts w:ascii="宋体" w:hAnsi="宋体"/>
        </w:rPr>
      </w:pPr>
      <w:r>
        <w:rPr>
          <w:rFonts w:ascii="宋体" w:hAnsi="宋体"/>
          <w:sz w:val="24"/>
        </w:rPr>
        <w:t xml:space="preserve"> </w:t>
      </w:r>
      <w:r>
        <w:rPr>
          <w:rFonts w:hint="eastAsia" w:ascii="宋体" w:hAnsi="宋体"/>
          <w:bCs/>
          <w:sz w:val="24"/>
        </w:rPr>
        <w:t xml:space="preserve">            </w:t>
      </w:r>
      <w:r>
        <w:rPr>
          <w:rFonts w:ascii="宋体" w:hAnsi="宋体"/>
        </w:rPr>
        <w:t xml:space="preserve">   年    月    日</w:t>
      </w:r>
    </w:p>
    <w:p>
      <w:pPr>
        <w:widowControl/>
        <w:adjustRightInd w:val="0"/>
        <w:snapToGrid w:val="0"/>
        <w:jc w:val="left"/>
        <w:sectPr>
          <w:pgSz w:w="11906" w:h="16838"/>
          <w:pgMar w:top="1803" w:right="1440" w:bottom="1803" w:left="1440" w:header="851" w:footer="992" w:gutter="0"/>
          <w:cols w:space="720" w:num="1"/>
          <w:docGrid w:linePitch="315" w:charSpace="0"/>
        </w:sectPr>
      </w:pPr>
    </w:p>
    <w:p>
      <w:pPr>
        <w:widowControl/>
        <w:numPr>
          <w:ilvl w:val="0"/>
          <w:numId w:val="15"/>
        </w:numPr>
        <w:spacing w:line="360" w:lineRule="auto"/>
        <w:ind w:left="840" w:firstLine="0" w:firstLineChars="0"/>
        <w:jc w:val="left"/>
        <w:outlineLvl w:val="1"/>
      </w:pPr>
      <w:r>
        <w:rPr>
          <w:rFonts w:ascii="宋体" w:hAnsi="宋体"/>
          <w:sz w:val="28"/>
          <w:szCs w:val="28"/>
        </w:rPr>
        <w:t>2、分项报价表</w:t>
      </w:r>
    </w:p>
    <w:tbl>
      <w:tblPr>
        <w:tblStyle w:val="33"/>
        <w:tblW w:w="7796"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2530"/>
        <w:gridCol w:w="1417"/>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796" w:type="dxa"/>
            <w:gridSpan w:val="5"/>
            <w:shd w:val="clear" w:color="000000" w:fill="FFFFFF" w:themeFill="background1"/>
            <w:vAlign w:val="center"/>
          </w:tcPr>
          <w:p>
            <w:pPr>
              <w:widowControl/>
              <w:jc w:val="center"/>
              <w:rPr>
                <w:rFonts w:ascii="宋体" w:hAnsi="宋体" w:cs="Arial"/>
                <w:kern w:val="0"/>
                <w:sz w:val="24"/>
              </w:rPr>
            </w:pPr>
            <w:r>
              <w:rPr>
                <w:rFonts w:hint="eastAsia" w:ascii="宋体" w:hAnsi="宋体" w:cs="Arial"/>
                <w:kern w:val="0"/>
                <w:sz w:val="24"/>
              </w:rPr>
              <w:t>表1 IT硬件设备零星维修服务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297" w:type="dxa"/>
            <w:shd w:val="clear" w:color="000000" w:fill="D9D9D9"/>
            <w:vAlign w:val="center"/>
          </w:tcPr>
          <w:p>
            <w:pPr>
              <w:widowControl/>
              <w:jc w:val="center"/>
              <w:rPr>
                <w:rFonts w:ascii="宋体" w:hAnsi="宋体" w:cs="Arial"/>
                <w:kern w:val="0"/>
                <w:sz w:val="24"/>
              </w:rPr>
            </w:pPr>
            <w:r>
              <w:rPr>
                <w:rFonts w:hint="eastAsia" w:ascii="宋体" w:hAnsi="宋体" w:cs="Arial"/>
                <w:kern w:val="0"/>
                <w:sz w:val="24"/>
              </w:rPr>
              <w:t>序号</w:t>
            </w:r>
          </w:p>
        </w:tc>
        <w:tc>
          <w:tcPr>
            <w:tcW w:w="2530" w:type="dxa"/>
            <w:shd w:val="clear" w:color="000000" w:fill="D9D9D9"/>
            <w:vAlign w:val="center"/>
          </w:tcPr>
          <w:p>
            <w:pPr>
              <w:widowControl/>
              <w:jc w:val="center"/>
              <w:rPr>
                <w:rFonts w:ascii="宋体" w:hAnsi="宋体" w:cs="Arial"/>
                <w:kern w:val="0"/>
                <w:sz w:val="24"/>
              </w:rPr>
            </w:pPr>
            <w:r>
              <w:rPr>
                <w:rFonts w:hint="eastAsia" w:ascii="宋体" w:hAnsi="宋体" w:cs="Arial"/>
                <w:kern w:val="0"/>
                <w:sz w:val="24"/>
              </w:rPr>
              <w:t>维修项目</w:t>
            </w:r>
          </w:p>
        </w:tc>
        <w:tc>
          <w:tcPr>
            <w:tcW w:w="1417" w:type="dxa"/>
            <w:shd w:val="clear" w:color="000000" w:fill="D9D9D9"/>
            <w:vAlign w:val="center"/>
          </w:tcPr>
          <w:p>
            <w:pPr>
              <w:widowControl/>
              <w:jc w:val="center"/>
              <w:rPr>
                <w:rFonts w:ascii="宋体" w:hAnsi="宋体" w:cs="Arial"/>
                <w:kern w:val="0"/>
                <w:sz w:val="24"/>
              </w:rPr>
            </w:pPr>
            <w:r>
              <w:rPr>
                <w:rFonts w:hint="eastAsia" w:ascii="宋体" w:hAnsi="宋体" w:cs="Arial"/>
                <w:kern w:val="0"/>
                <w:sz w:val="24"/>
              </w:rPr>
              <w:t>维修单价（元）</w:t>
            </w:r>
          </w:p>
        </w:tc>
        <w:tc>
          <w:tcPr>
            <w:tcW w:w="1276" w:type="dxa"/>
            <w:shd w:val="clear" w:color="000000" w:fill="D9D9D9"/>
            <w:vAlign w:val="center"/>
          </w:tcPr>
          <w:p>
            <w:pPr>
              <w:widowControl/>
              <w:jc w:val="center"/>
              <w:rPr>
                <w:rFonts w:ascii="宋体" w:hAnsi="宋体" w:cs="Arial"/>
                <w:kern w:val="0"/>
                <w:sz w:val="24"/>
              </w:rPr>
            </w:pPr>
            <w:r>
              <w:rPr>
                <w:rFonts w:hint="eastAsia" w:ascii="宋体" w:hAnsi="宋体"/>
                <w:sz w:val="24"/>
                <w:szCs w:val="24"/>
              </w:rPr>
              <w:t>二年内预估数量</w:t>
            </w:r>
          </w:p>
        </w:tc>
        <w:tc>
          <w:tcPr>
            <w:tcW w:w="1276" w:type="dxa"/>
            <w:shd w:val="clear" w:color="000000" w:fill="D9D9D9"/>
            <w:vAlign w:val="center"/>
          </w:tcPr>
          <w:p>
            <w:pPr>
              <w:widowControl/>
              <w:jc w:val="center"/>
              <w:rPr>
                <w:rFonts w:ascii="宋体" w:hAnsi="宋体" w:cs="Arial"/>
                <w:kern w:val="0"/>
                <w:sz w:val="24"/>
              </w:rPr>
            </w:pPr>
            <w:r>
              <w:rPr>
                <w:rFonts w:hint="eastAsia" w:ascii="宋体" w:hAnsi="宋体" w:cs="Arial"/>
                <w:kern w:val="0"/>
                <w:sz w:val="24"/>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297"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1</w:t>
            </w:r>
          </w:p>
        </w:tc>
        <w:tc>
          <w:tcPr>
            <w:tcW w:w="2530"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工作站主板维修</w:t>
            </w:r>
          </w:p>
        </w:tc>
        <w:tc>
          <w:tcPr>
            <w:tcW w:w="1417" w:type="dxa"/>
            <w:shd w:val="clear" w:color="000000" w:fill="FFFFFF"/>
            <w:vAlign w:val="center"/>
          </w:tcPr>
          <w:p>
            <w:pPr>
              <w:widowControl/>
              <w:jc w:val="center"/>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42</w:t>
            </w:r>
          </w:p>
        </w:tc>
        <w:tc>
          <w:tcPr>
            <w:tcW w:w="1276" w:type="dxa"/>
            <w:shd w:val="clear" w:color="000000" w:fill="FFFFFF"/>
            <w:vAlign w:val="center"/>
          </w:tcPr>
          <w:p>
            <w:pPr>
              <w:widowControl/>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297"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2</w:t>
            </w:r>
          </w:p>
        </w:tc>
        <w:tc>
          <w:tcPr>
            <w:tcW w:w="2530"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显示器维修</w:t>
            </w:r>
          </w:p>
        </w:tc>
        <w:tc>
          <w:tcPr>
            <w:tcW w:w="1417" w:type="dxa"/>
            <w:shd w:val="clear" w:color="000000" w:fill="FFFFFF"/>
            <w:vAlign w:val="center"/>
          </w:tcPr>
          <w:p>
            <w:pPr>
              <w:widowControl/>
              <w:jc w:val="center"/>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84</w:t>
            </w:r>
          </w:p>
        </w:tc>
        <w:tc>
          <w:tcPr>
            <w:tcW w:w="1276" w:type="dxa"/>
            <w:shd w:val="clear" w:color="000000" w:fill="FFFFFF"/>
            <w:vAlign w:val="center"/>
          </w:tcPr>
          <w:p>
            <w:pPr>
              <w:widowControl/>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297"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3</w:t>
            </w:r>
          </w:p>
        </w:tc>
        <w:tc>
          <w:tcPr>
            <w:tcW w:w="2530"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工作站电源维修</w:t>
            </w:r>
          </w:p>
        </w:tc>
        <w:tc>
          <w:tcPr>
            <w:tcW w:w="1417" w:type="dxa"/>
            <w:shd w:val="clear" w:color="000000" w:fill="FFFFFF"/>
            <w:vAlign w:val="center"/>
          </w:tcPr>
          <w:p>
            <w:pPr>
              <w:widowControl/>
              <w:jc w:val="center"/>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66</w:t>
            </w:r>
          </w:p>
        </w:tc>
        <w:tc>
          <w:tcPr>
            <w:tcW w:w="1276" w:type="dxa"/>
            <w:shd w:val="clear" w:color="000000" w:fill="FFFFFF"/>
            <w:vAlign w:val="center"/>
          </w:tcPr>
          <w:p>
            <w:pPr>
              <w:widowControl/>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297"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4</w:t>
            </w:r>
          </w:p>
        </w:tc>
        <w:tc>
          <w:tcPr>
            <w:tcW w:w="2530"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工作站显卡维修</w:t>
            </w:r>
          </w:p>
        </w:tc>
        <w:tc>
          <w:tcPr>
            <w:tcW w:w="1417" w:type="dxa"/>
            <w:shd w:val="clear" w:color="000000" w:fill="FFFFFF"/>
            <w:vAlign w:val="center"/>
          </w:tcPr>
          <w:p>
            <w:pPr>
              <w:widowControl/>
              <w:jc w:val="center"/>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78</w:t>
            </w:r>
          </w:p>
        </w:tc>
        <w:tc>
          <w:tcPr>
            <w:tcW w:w="1276" w:type="dxa"/>
            <w:shd w:val="clear" w:color="000000" w:fill="FFFFFF"/>
            <w:vAlign w:val="center"/>
          </w:tcPr>
          <w:p>
            <w:pPr>
              <w:widowControl/>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297"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5</w:t>
            </w:r>
          </w:p>
        </w:tc>
        <w:tc>
          <w:tcPr>
            <w:tcW w:w="2530"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cpu维修</w:t>
            </w:r>
          </w:p>
        </w:tc>
        <w:tc>
          <w:tcPr>
            <w:tcW w:w="1417" w:type="dxa"/>
            <w:shd w:val="clear" w:color="000000" w:fill="FFFFFF"/>
            <w:vAlign w:val="center"/>
          </w:tcPr>
          <w:p>
            <w:pPr>
              <w:widowControl/>
              <w:jc w:val="center"/>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6</w:t>
            </w:r>
          </w:p>
        </w:tc>
        <w:tc>
          <w:tcPr>
            <w:tcW w:w="1276" w:type="dxa"/>
            <w:shd w:val="clear" w:color="000000" w:fill="FFFFFF"/>
            <w:vAlign w:val="center"/>
          </w:tcPr>
          <w:p>
            <w:pPr>
              <w:widowControl/>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297"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6</w:t>
            </w:r>
          </w:p>
        </w:tc>
        <w:tc>
          <w:tcPr>
            <w:tcW w:w="2530"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笔记本屏幕维修</w:t>
            </w:r>
          </w:p>
        </w:tc>
        <w:tc>
          <w:tcPr>
            <w:tcW w:w="1417" w:type="dxa"/>
            <w:shd w:val="clear" w:color="000000" w:fill="FFFFFF"/>
            <w:vAlign w:val="center"/>
          </w:tcPr>
          <w:p>
            <w:pPr>
              <w:widowControl/>
              <w:jc w:val="center"/>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6</w:t>
            </w:r>
          </w:p>
        </w:tc>
        <w:tc>
          <w:tcPr>
            <w:tcW w:w="1276" w:type="dxa"/>
            <w:shd w:val="clear" w:color="000000" w:fill="FFFFFF"/>
            <w:vAlign w:val="center"/>
          </w:tcPr>
          <w:p>
            <w:pPr>
              <w:widowControl/>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297"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7</w:t>
            </w:r>
          </w:p>
        </w:tc>
        <w:tc>
          <w:tcPr>
            <w:tcW w:w="2530"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笔记本主板维修</w:t>
            </w:r>
          </w:p>
        </w:tc>
        <w:tc>
          <w:tcPr>
            <w:tcW w:w="1417" w:type="dxa"/>
            <w:shd w:val="clear" w:color="000000" w:fill="FFFFFF"/>
            <w:vAlign w:val="center"/>
          </w:tcPr>
          <w:p>
            <w:pPr>
              <w:widowControl/>
              <w:jc w:val="center"/>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18</w:t>
            </w:r>
          </w:p>
        </w:tc>
        <w:tc>
          <w:tcPr>
            <w:tcW w:w="1276" w:type="dxa"/>
            <w:shd w:val="clear" w:color="000000" w:fill="FFFFFF"/>
            <w:vAlign w:val="center"/>
          </w:tcPr>
          <w:p>
            <w:pPr>
              <w:widowControl/>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297"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8</w:t>
            </w:r>
          </w:p>
        </w:tc>
        <w:tc>
          <w:tcPr>
            <w:tcW w:w="2530"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笔记本键盘维修</w:t>
            </w:r>
          </w:p>
        </w:tc>
        <w:tc>
          <w:tcPr>
            <w:tcW w:w="1417" w:type="dxa"/>
            <w:shd w:val="clear" w:color="000000" w:fill="FFFFFF"/>
            <w:vAlign w:val="center"/>
          </w:tcPr>
          <w:p>
            <w:pPr>
              <w:widowControl/>
              <w:jc w:val="center"/>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12</w:t>
            </w:r>
          </w:p>
        </w:tc>
        <w:tc>
          <w:tcPr>
            <w:tcW w:w="1276" w:type="dxa"/>
            <w:shd w:val="clear" w:color="000000" w:fill="FFFFFF"/>
            <w:vAlign w:val="center"/>
          </w:tcPr>
          <w:p>
            <w:pPr>
              <w:widowControl/>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297"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9</w:t>
            </w:r>
          </w:p>
        </w:tc>
        <w:tc>
          <w:tcPr>
            <w:tcW w:w="2530"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笔记本散热组件维修</w:t>
            </w:r>
          </w:p>
        </w:tc>
        <w:tc>
          <w:tcPr>
            <w:tcW w:w="1417" w:type="dxa"/>
            <w:shd w:val="clear" w:color="000000" w:fill="FFFFFF"/>
            <w:vAlign w:val="center"/>
          </w:tcPr>
          <w:p>
            <w:pPr>
              <w:widowControl/>
              <w:jc w:val="center"/>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12</w:t>
            </w:r>
          </w:p>
        </w:tc>
        <w:tc>
          <w:tcPr>
            <w:tcW w:w="1276" w:type="dxa"/>
            <w:shd w:val="clear" w:color="000000" w:fill="FFFFFF"/>
            <w:vAlign w:val="center"/>
          </w:tcPr>
          <w:p>
            <w:pPr>
              <w:widowControl/>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5244" w:type="dxa"/>
            <w:gridSpan w:val="3"/>
            <w:shd w:val="clear" w:color="000000" w:fill="FFFFFF"/>
            <w:vAlign w:val="center"/>
          </w:tcPr>
          <w:p>
            <w:pPr>
              <w:widowControl/>
              <w:jc w:val="center"/>
              <w:rPr>
                <w:rFonts w:ascii="宋体" w:hAnsi="宋体" w:cs="Arial"/>
                <w:kern w:val="0"/>
                <w:sz w:val="24"/>
              </w:rPr>
            </w:pPr>
            <w:r>
              <w:rPr>
                <w:rFonts w:hint="eastAsia" w:ascii="宋体" w:hAnsi="宋体"/>
                <w:b/>
                <w:bCs/>
                <w:sz w:val="24"/>
              </w:rPr>
              <w:t>合计（人民币元）：</w:t>
            </w:r>
          </w:p>
        </w:tc>
        <w:tc>
          <w:tcPr>
            <w:tcW w:w="2552" w:type="dxa"/>
            <w:gridSpan w:val="2"/>
            <w:shd w:val="clear" w:color="000000" w:fill="FFFFFF"/>
            <w:vAlign w:val="center"/>
          </w:tcPr>
          <w:p>
            <w:pPr>
              <w:widowControl/>
              <w:jc w:val="center"/>
              <w:rPr>
                <w:rFonts w:ascii="宋体" w:hAnsi="宋体" w:cs="Arial"/>
                <w:kern w:val="0"/>
                <w:sz w:val="24"/>
              </w:rPr>
            </w:pPr>
          </w:p>
        </w:tc>
      </w:tr>
    </w:tbl>
    <w:p>
      <w:pPr>
        <w:pStyle w:val="2"/>
        <w:adjustRightInd w:val="0"/>
        <w:snapToGrid w:val="0"/>
        <w:spacing w:line="360" w:lineRule="auto"/>
        <w:jc w:val="both"/>
        <w:rPr>
          <w:rFonts w:ascii="宋体" w:hAnsi="宋体"/>
          <w:sz w:val="24"/>
        </w:rPr>
      </w:pPr>
    </w:p>
    <w:tbl>
      <w:tblPr>
        <w:tblStyle w:val="33"/>
        <w:tblW w:w="7437"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693"/>
        <w:gridCol w:w="1417"/>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437" w:type="dxa"/>
            <w:gridSpan w:val="5"/>
            <w:shd w:val="clear" w:color="000000" w:fill="FFFFFF" w:themeFill="background1"/>
            <w:vAlign w:val="center"/>
          </w:tcPr>
          <w:p>
            <w:pPr>
              <w:widowControl/>
              <w:jc w:val="center"/>
              <w:rPr>
                <w:rFonts w:ascii="宋体" w:hAnsi="宋体" w:cs="Arial"/>
                <w:kern w:val="0"/>
                <w:sz w:val="24"/>
              </w:rPr>
            </w:pPr>
            <w:r>
              <w:rPr>
                <w:rFonts w:hint="eastAsia" w:ascii="宋体" w:hAnsi="宋体" w:cs="Arial"/>
                <w:kern w:val="0"/>
                <w:sz w:val="24"/>
              </w:rPr>
              <w:t>表2 其他维修项目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75" w:type="dxa"/>
            <w:shd w:val="clear" w:color="000000" w:fill="D9D9D9"/>
            <w:vAlign w:val="center"/>
          </w:tcPr>
          <w:p>
            <w:pPr>
              <w:widowControl/>
              <w:jc w:val="center"/>
              <w:rPr>
                <w:rFonts w:ascii="宋体" w:hAnsi="宋体" w:cs="Arial"/>
                <w:kern w:val="0"/>
                <w:sz w:val="24"/>
              </w:rPr>
            </w:pPr>
            <w:r>
              <w:rPr>
                <w:rFonts w:hint="eastAsia" w:ascii="宋体" w:hAnsi="宋体" w:cs="Arial"/>
                <w:kern w:val="0"/>
                <w:sz w:val="24"/>
              </w:rPr>
              <w:t>序号</w:t>
            </w:r>
          </w:p>
        </w:tc>
        <w:tc>
          <w:tcPr>
            <w:tcW w:w="2693" w:type="dxa"/>
            <w:shd w:val="clear" w:color="000000" w:fill="D9D9D9"/>
            <w:vAlign w:val="center"/>
          </w:tcPr>
          <w:p>
            <w:pPr>
              <w:widowControl/>
              <w:jc w:val="center"/>
              <w:rPr>
                <w:rFonts w:ascii="宋体" w:hAnsi="宋体" w:cs="Arial"/>
                <w:kern w:val="0"/>
                <w:sz w:val="24"/>
              </w:rPr>
            </w:pPr>
            <w:r>
              <w:rPr>
                <w:rFonts w:hint="eastAsia" w:ascii="宋体" w:hAnsi="宋体" w:cs="Arial"/>
                <w:kern w:val="0"/>
                <w:sz w:val="24"/>
              </w:rPr>
              <w:t>维修项目</w:t>
            </w:r>
          </w:p>
        </w:tc>
        <w:tc>
          <w:tcPr>
            <w:tcW w:w="1417" w:type="dxa"/>
            <w:shd w:val="clear" w:color="000000" w:fill="D9D9D9"/>
            <w:vAlign w:val="center"/>
          </w:tcPr>
          <w:p>
            <w:pPr>
              <w:widowControl/>
              <w:jc w:val="center"/>
              <w:rPr>
                <w:rFonts w:ascii="宋体" w:hAnsi="宋体" w:cs="Arial"/>
                <w:kern w:val="0"/>
                <w:sz w:val="24"/>
              </w:rPr>
            </w:pPr>
            <w:r>
              <w:rPr>
                <w:rFonts w:hint="eastAsia" w:ascii="宋体" w:hAnsi="宋体" w:cs="Arial"/>
                <w:kern w:val="0"/>
                <w:sz w:val="24"/>
              </w:rPr>
              <w:t>维修单价（元）</w:t>
            </w:r>
          </w:p>
        </w:tc>
        <w:tc>
          <w:tcPr>
            <w:tcW w:w="1276" w:type="dxa"/>
            <w:shd w:val="clear" w:color="000000" w:fill="D9D9D9"/>
            <w:vAlign w:val="center"/>
          </w:tcPr>
          <w:p>
            <w:pPr>
              <w:widowControl/>
              <w:jc w:val="center"/>
              <w:rPr>
                <w:rFonts w:ascii="宋体" w:hAnsi="宋体" w:cs="Arial"/>
                <w:kern w:val="0"/>
                <w:sz w:val="24"/>
              </w:rPr>
            </w:pPr>
            <w:r>
              <w:rPr>
                <w:rFonts w:hint="eastAsia" w:ascii="宋体" w:hAnsi="宋体"/>
                <w:sz w:val="24"/>
                <w:szCs w:val="24"/>
              </w:rPr>
              <w:t>二年内预估数量</w:t>
            </w:r>
          </w:p>
        </w:tc>
        <w:tc>
          <w:tcPr>
            <w:tcW w:w="1276" w:type="dxa"/>
            <w:shd w:val="clear" w:color="000000" w:fill="D9D9D9"/>
            <w:vAlign w:val="center"/>
          </w:tcPr>
          <w:p>
            <w:pPr>
              <w:widowControl/>
              <w:jc w:val="center"/>
              <w:rPr>
                <w:rFonts w:ascii="宋体" w:hAnsi="宋体" w:cs="Arial"/>
                <w:kern w:val="0"/>
                <w:sz w:val="24"/>
              </w:rPr>
            </w:pPr>
            <w:r>
              <w:rPr>
                <w:rFonts w:hint="eastAsia" w:ascii="宋体" w:hAnsi="宋体" w:cs="Arial"/>
                <w:kern w:val="0"/>
                <w:sz w:val="24"/>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75"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1</w:t>
            </w:r>
          </w:p>
        </w:tc>
        <w:tc>
          <w:tcPr>
            <w:tcW w:w="2693"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 xml:space="preserve"> RAID类数据恢复</w:t>
            </w:r>
          </w:p>
        </w:tc>
        <w:tc>
          <w:tcPr>
            <w:tcW w:w="1417" w:type="dxa"/>
            <w:shd w:val="clear" w:color="000000" w:fill="FFFFFF"/>
            <w:vAlign w:val="center"/>
          </w:tcPr>
          <w:p>
            <w:pPr>
              <w:widowControl/>
              <w:jc w:val="center"/>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6</w:t>
            </w:r>
          </w:p>
        </w:tc>
        <w:tc>
          <w:tcPr>
            <w:tcW w:w="1276" w:type="dxa"/>
            <w:shd w:val="clear" w:color="000000" w:fill="FFFFFF"/>
            <w:vAlign w:val="center"/>
          </w:tcPr>
          <w:p>
            <w:pPr>
              <w:widowControl/>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75"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2</w:t>
            </w:r>
          </w:p>
        </w:tc>
        <w:tc>
          <w:tcPr>
            <w:tcW w:w="2693"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硬盘/U盘数据恢复</w:t>
            </w:r>
          </w:p>
        </w:tc>
        <w:tc>
          <w:tcPr>
            <w:tcW w:w="1417" w:type="dxa"/>
            <w:shd w:val="clear" w:color="000000" w:fill="FFFFFF"/>
            <w:vAlign w:val="center"/>
          </w:tcPr>
          <w:p>
            <w:pPr>
              <w:widowControl/>
              <w:jc w:val="center"/>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36</w:t>
            </w:r>
          </w:p>
        </w:tc>
        <w:tc>
          <w:tcPr>
            <w:tcW w:w="1276" w:type="dxa"/>
            <w:shd w:val="clear" w:color="000000" w:fill="FFFFFF"/>
            <w:vAlign w:val="center"/>
          </w:tcPr>
          <w:p>
            <w:pPr>
              <w:widowControl/>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75"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3</w:t>
            </w:r>
          </w:p>
        </w:tc>
        <w:tc>
          <w:tcPr>
            <w:tcW w:w="2693"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SSD固态介质类数据恢复</w:t>
            </w:r>
          </w:p>
        </w:tc>
        <w:tc>
          <w:tcPr>
            <w:tcW w:w="1417" w:type="dxa"/>
            <w:shd w:val="clear" w:color="auto" w:fill="auto"/>
            <w:vAlign w:val="center"/>
          </w:tcPr>
          <w:p>
            <w:pPr>
              <w:widowControl/>
              <w:jc w:val="center"/>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6</w:t>
            </w:r>
          </w:p>
        </w:tc>
        <w:tc>
          <w:tcPr>
            <w:tcW w:w="1276" w:type="dxa"/>
            <w:shd w:val="clear" w:color="000000" w:fill="FFFFFF"/>
            <w:vAlign w:val="center"/>
          </w:tcPr>
          <w:p>
            <w:pPr>
              <w:widowControl/>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75"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4</w:t>
            </w:r>
          </w:p>
        </w:tc>
        <w:tc>
          <w:tcPr>
            <w:tcW w:w="2693"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打印机维修</w:t>
            </w:r>
          </w:p>
        </w:tc>
        <w:tc>
          <w:tcPr>
            <w:tcW w:w="1417" w:type="dxa"/>
            <w:shd w:val="clear" w:color="000000" w:fill="FFFFFF"/>
            <w:vAlign w:val="center"/>
          </w:tcPr>
          <w:p>
            <w:pPr>
              <w:widowControl/>
              <w:jc w:val="center"/>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6</w:t>
            </w:r>
          </w:p>
        </w:tc>
        <w:tc>
          <w:tcPr>
            <w:tcW w:w="1276" w:type="dxa"/>
            <w:shd w:val="clear" w:color="000000" w:fill="FFFFFF"/>
            <w:vAlign w:val="center"/>
          </w:tcPr>
          <w:p>
            <w:pPr>
              <w:widowControl/>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4885" w:type="dxa"/>
            <w:gridSpan w:val="3"/>
            <w:shd w:val="clear" w:color="000000" w:fill="FFFFFF"/>
            <w:vAlign w:val="center"/>
          </w:tcPr>
          <w:p>
            <w:pPr>
              <w:widowControl/>
              <w:jc w:val="center"/>
              <w:rPr>
                <w:rFonts w:ascii="宋体" w:hAnsi="宋体" w:cs="Arial"/>
                <w:kern w:val="0"/>
                <w:sz w:val="24"/>
              </w:rPr>
            </w:pPr>
            <w:r>
              <w:rPr>
                <w:rFonts w:hint="eastAsia" w:ascii="宋体" w:hAnsi="宋体"/>
                <w:b/>
                <w:bCs/>
                <w:sz w:val="24"/>
              </w:rPr>
              <w:t>合计（人民币元）：</w:t>
            </w:r>
          </w:p>
        </w:tc>
        <w:tc>
          <w:tcPr>
            <w:tcW w:w="1276" w:type="dxa"/>
            <w:shd w:val="clear" w:color="000000" w:fill="FFFFFF"/>
            <w:vAlign w:val="center"/>
          </w:tcPr>
          <w:p>
            <w:pPr>
              <w:widowControl/>
              <w:jc w:val="center"/>
              <w:rPr>
                <w:rFonts w:ascii="宋体" w:hAnsi="宋体"/>
                <w:color w:val="000000"/>
                <w:sz w:val="24"/>
              </w:rPr>
            </w:pPr>
          </w:p>
        </w:tc>
        <w:tc>
          <w:tcPr>
            <w:tcW w:w="1276" w:type="dxa"/>
            <w:shd w:val="clear" w:color="000000" w:fill="FFFFFF"/>
            <w:vAlign w:val="center"/>
          </w:tcPr>
          <w:p>
            <w:pPr>
              <w:widowControl/>
              <w:jc w:val="center"/>
              <w:rPr>
                <w:rFonts w:ascii="宋体" w:hAnsi="宋体" w:cs="Arial"/>
                <w:kern w:val="0"/>
                <w:sz w:val="24"/>
              </w:rPr>
            </w:pPr>
          </w:p>
        </w:tc>
      </w:tr>
    </w:tbl>
    <w:p>
      <w:pPr>
        <w:adjustRightInd/>
        <w:snapToGrid/>
        <w:spacing w:line="240" w:lineRule="auto"/>
        <w:rPr>
          <w:rFonts w:ascii="宋体" w:hAnsi="宋体"/>
          <w:sz w:val="24"/>
        </w:rPr>
      </w:pPr>
    </w:p>
    <w:p>
      <w:pPr>
        <w:pStyle w:val="2"/>
        <w:adjustRightInd w:val="0"/>
        <w:snapToGrid w:val="0"/>
        <w:spacing w:line="360" w:lineRule="auto"/>
        <w:rPr>
          <w:rFonts w:ascii="宋体" w:hAnsi="宋体"/>
          <w:sz w:val="24"/>
        </w:rPr>
      </w:pPr>
    </w:p>
    <w:tbl>
      <w:tblPr>
        <w:tblStyle w:val="33"/>
        <w:tblW w:w="7437"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30"/>
        <w:gridCol w:w="1417"/>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437" w:type="dxa"/>
            <w:gridSpan w:val="5"/>
            <w:shd w:val="clear" w:color="000000" w:fill="FFFFFF" w:themeFill="background1"/>
            <w:vAlign w:val="center"/>
          </w:tcPr>
          <w:p>
            <w:pPr>
              <w:widowControl/>
              <w:jc w:val="center"/>
              <w:rPr>
                <w:rFonts w:ascii="宋体" w:hAnsi="宋体" w:cs="Arial"/>
                <w:kern w:val="0"/>
                <w:sz w:val="24"/>
              </w:rPr>
            </w:pPr>
            <w:r>
              <w:rPr>
                <w:rFonts w:hint="eastAsia" w:ascii="宋体" w:hAnsi="宋体" w:cs="Arial"/>
                <w:kern w:val="0"/>
                <w:sz w:val="24"/>
              </w:rPr>
              <w:t>表3上门服务费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38" w:type="dxa"/>
            <w:shd w:val="clear" w:color="000000" w:fill="D9D9D9"/>
            <w:vAlign w:val="center"/>
          </w:tcPr>
          <w:p>
            <w:pPr>
              <w:widowControl/>
              <w:jc w:val="center"/>
              <w:rPr>
                <w:rFonts w:ascii="宋体" w:hAnsi="宋体" w:cs="Arial"/>
                <w:kern w:val="0"/>
                <w:sz w:val="24"/>
              </w:rPr>
            </w:pPr>
            <w:r>
              <w:rPr>
                <w:rFonts w:hint="eastAsia" w:ascii="宋体" w:hAnsi="宋体" w:cs="Arial"/>
                <w:kern w:val="0"/>
                <w:sz w:val="24"/>
              </w:rPr>
              <w:t>序号</w:t>
            </w:r>
          </w:p>
        </w:tc>
        <w:tc>
          <w:tcPr>
            <w:tcW w:w="2530" w:type="dxa"/>
            <w:shd w:val="clear" w:color="000000" w:fill="D9D9D9"/>
            <w:vAlign w:val="center"/>
          </w:tcPr>
          <w:p>
            <w:pPr>
              <w:widowControl/>
              <w:jc w:val="center"/>
              <w:rPr>
                <w:rFonts w:ascii="宋体" w:hAnsi="宋体" w:cs="Arial"/>
                <w:kern w:val="0"/>
                <w:sz w:val="24"/>
              </w:rPr>
            </w:pPr>
            <w:r>
              <w:rPr>
                <w:rFonts w:hint="eastAsia" w:ascii="宋体" w:hAnsi="宋体" w:cs="Arial"/>
                <w:kern w:val="0"/>
                <w:sz w:val="24"/>
              </w:rPr>
              <w:t>上门服务费</w:t>
            </w:r>
          </w:p>
        </w:tc>
        <w:tc>
          <w:tcPr>
            <w:tcW w:w="1417" w:type="dxa"/>
            <w:shd w:val="clear" w:color="000000" w:fill="D9D9D9"/>
            <w:vAlign w:val="center"/>
          </w:tcPr>
          <w:p>
            <w:pPr>
              <w:widowControl/>
              <w:jc w:val="center"/>
              <w:rPr>
                <w:rFonts w:ascii="宋体" w:hAnsi="宋体" w:cs="Arial"/>
                <w:kern w:val="0"/>
                <w:sz w:val="24"/>
              </w:rPr>
            </w:pPr>
            <w:r>
              <w:rPr>
                <w:rFonts w:hint="eastAsia" w:ascii="宋体" w:hAnsi="宋体" w:cs="Arial"/>
                <w:kern w:val="0"/>
                <w:sz w:val="24"/>
              </w:rPr>
              <w:t>上门服务费单价（元）</w:t>
            </w:r>
          </w:p>
        </w:tc>
        <w:tc>
          <w:tcPr>
            <w:tcW w:w="1276" w:type="dxa"/>
            <w:shd w:val="clear" w:color="000000" w:fill="D9D9D9"/>
            <w:vAlign w:val="center"/>
          </w:tcPr>
          <w:p>
            <w:pPr>
              <w:widowControl/>
              <w:jc w:val="center"/>
              <w:rPr>
                <w:rFonts w:ascii="宋体" w:hAnsi="宋体" w:cs="Arial"/>
                <w:kern w:val="0"/>
                <w:sz w:val="24"/>
              </w:rPr>
            </w:pPr>
            <w:r>
              <w:rPr>
                <w:rFonts w:hint="eastAsia" w:ascii="宋体" w:hAnsi="宋体"/>
                <w:sz w:val="24"/>
                <w:szCs w:val="24"/>
              </w:rPr>
              <w:t>二年内预估数量</w:t>
            </w:r>
          </w:p>
        </w:tc>
        <w:tc>
          <w:tcPr>
            <w:tcW w:w="1276" w:type="dxa"/>
            <w:shd w:val="clear" w:color="000000" w:fill="D9D9D9"/>
            <w:vAlign w:val="center"/>
          </w:tcPr>
          <w:p>
            <w:pPr>
              <w:widowControl/>
              <w:jc w:val="center"/>
              <w:rPr>
                <w:rFonts w:ascii="宋体" w:hAnsi="宋体" w:cs="Arial"/>
                <w:kern w:val="0"/>
                <w:sz w:val="24"/>
              </w:rPr>
            </w:pPr>
            <w:r>
              <w:rPr>
                <w:rFonts w:hint="eastAsia" w:ascii="宋体" w:hAnsi="宋体" w:cs="Arial"/>
                <w:kern w:val="0"/>
                <w:sz w:val="24"/>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38"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1</w:t>
            </w:r>
          </w:p>
        </w:tc>
        <w:tc>
          <w:tcPr>
            <w:tcW w:w="2530" w:type="dxa"/>
            <w:shd w:val="clear" w:color="auto" w:fill="auto"/>
            <w:noWrap/>
          </w:tcPr>
          <w:p>
            <w:pPr>
              <w:widowControl/>
              <w:jc w:val="left"/>
              <w:rPr>
                <w:rFonts w:ascii="宋体" w:hAnsi="宋体" w:cs="Arial"/>
                <w:kern w:val="0"/>
                <w:sz w:val="24"/>
              </w:rPr>
            </w:pPr>
            <w:r>
              <w:rPr>
                <w:rFonts w:hint="eastAsia" w:ascii="宋体" w:hAnsi="宋体" w:cs="Arial"/>
                <w:kern w:val="0"/>
                <w:sz w:val="24"/>
              </w:rPr>
              <w:t>上门服务费（隔日上门）</w:t>
            </w:r>
          </w:p>
        </w:tc>
        <w:tc>
          <w:tcPr>
            <w:tcW w:w="1417" w:type="dxa"/>
            <w:shd w:val="clear" w:color="auto" w:fill="auto"/>
            <w:noWrap/>
          </w:tcPr>
          <w:p>
            <w:pPr>
              <w:widowControl/>
              <w:jc w:val="left"/>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126</w:t>
            </w:r>
          </w:p>
        </w:tc>
        <w:tc>
          <w:tcPr>
            <w:tcW w:w="1276" w:type="dxa"/>
            <w:shd w:val="clear" w:color="auto" w:fill="auto"/>
            <w:noWrap/>
          </w:tcPr>
          <w:p>
            <w:pPr>
              <w:widowControl/>
              <w:jc w:val="lef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38" w:type="dxa"/>
            <w:shd w:val="clear" w:color="000000" w:fill="FFFFFF"/>
            <w:vAlign w:val="center"/>
          </w:tcPr>
          <w:p>
            <w:pPr>
              <w:widowControl/>
              <w:jc w:val="center"/>
              <w:rPr>
                <w:rFonts w:ascii="宋体" w:hAnsi="宋体" w:cs="Arial"/>
                <w:kern w:val="0"/>
                <w:sz w:val="24"/>
              </w:rPr>
            </w:pPr>
            <w:r>
              <w:rPr>
                <w:rFonts w:hint="eastAsia" w:ascii="宋体" w:hAnsi="宋体" w:cs="Arial"/>
                <w:kern w:val="0"/>
                <w:sz w:val="24"/>
              </w:rPr>
              <w:t>2</w:t>
            </w:r>
          </w:p>
        </w:tc>
        <w:tc>
          <w:tcPr>
            <w:tcW w:w="2530" w:type="dxa"/>
            <w:shd w:val="clear" w:color="auto" w:fill="auto"/>
            <w:noWrap/>
          </w:tcPr>
          <w:p>
            <w:pPr>
              <w:widowControl/>
              <w:jc w:val="left"/>
              <w:rPr>
                <w:rFonts w:ascii="宋体" w:hAnsi="宋体" w:cs="Arial"/>
                <w:kern w:val="0"/>
                <w:sz w:val="24"/>
              </w:rPr>
            </w:pPr>
            <w:r>
              <w:rPr>
                <w:rFonts w:hint="eastAsia" w:ascii="宋体" w:hAnsi="宋体" w:cs="Arial"/>
                <w:kern w:val="0"/>
                <w:sz w:val="24"/>
              </w:rPr>
              <w:t>加急上门服务费（当日上门）</w:t>
            </w:r>
          </w:p>
        </w:tc>
        <w:tc>
          <w:tcPr>
            <w:tcW w:w="1417" w:type="dxa"/>
            <w:shd w:val="clear" w:color="auto" w:fill="auto"/>
            <w:noWrap/>
          </w:tcPr>
          <w:p>
            <w:pPr>
              <w:widowControl/>
              <w:jc w:val="left"/>
              <w:rPr>
                <w:rFonts w:ascii="宋体" w:hAnsi="宋体" w:cs="Arial"/>
                <w:kern w:val="0"/>
                <w:sz w:val="24"/>
              </w:rPr>
            </w:pPr>
          </w:p>
        </w:tc>
        <w:tc>
          <w:tcPr>
            <w:tcW w:w="1276" w:type="dxa"/>
            <w:shd w:val="clear" w:color="000000" w:fill="FFFFFF"/>
            <w:vAlign w:val="center"/>
          </w:tcPr>
          <w:p>
            <w:pPr>
              <w:widowControl/>
              <w:jc w:val="center"/>
              <w:rPr>
                <w:rFonts w:ascii="宋体" w:hAnsi="宋体" w:cs="Arial"/>
                <w:kern w:val="0"/>
                <w:sz w:val="24"/>
              </w:rPr>
            </w:pPr>
            <w:r>
              <w:rPr>
                <w:rFonts w:ascii="宋体" w:hAnsi="宋体"/>
                <w:color w:val="000000"/>
                <w:sz w:val="24"/>
                <w:szCs w:val="24"/>
              </w:rPr>
              <w:t>30</w:t>
            </w:r>
          </w:p>
        </w:tc>
        <w:tc>
          <w:tcPr>
            <w:tcW w:w="1276" w:type="dxa"/>
            <w:shd w:val="clear" w:color="auto" w:fill="auto"/>
            <w:noWrap/>
          </w:tcPr>
          <w:p>
            <w:pPr>
              <w:widowControl/>
              <w:jc w:val="lef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4885" w:type="dxa"/>
            <w:gridSpan w:val="3"/>
            <w:shd w:val="clear" w:color="000000" w:fill="FFFFFF"/>
            <w:vAlign w:val="center"/>
          </w:tcPr>
          <w:p>
            <w:pPr>
              <w:widowControl/>
              <w:jc w:val="center"/>
              <w:rPr>
                <w:rFonts w:ascii="宋体" w:hAnsi="宋体" w:cs="Arial"/>
                <w:kern w:val="0"/>
                <w:sz w:val="24"/>
              </w:rPr>
            </w:pPr>
            <w:r>
              <w:rPr>
                <w:rFonts w:hint="eastAsia" w:ascii="宋体" w:hAnsi="宋体"/>
                <w:b/>
                <w:bCs/>
                <w:sz w:val="24"/>
              </w:rPr>
              <w:t>合计（人民币元）：</w:t>
            </w:r>
          </w:p>
        </w:tc>
        <w:tc>
          <w:tcPr>
            <w:tcW w:w="1276" w:type="dxa"/>
            <w:shd w:val="clear" w:color="000000" w:fill="FFFFFF"/>
            <w:vAlign w:val="center"/>
          </w:tcPr>
          <w:p>
            <w:pPr>
              <w:widowControl/>
              <w:jc w:val="center"/>
              <w:rPr>
                <w:rFonts w:ascii="宋体" w:hAnsi="宋体"/>
                <w:color w:val="000000"/>
                <w:sz w:val="24"/>
              </w:rPr>
            </w:pPr>
          </w:p>
        </w:tc>
        <w:tc>
          <w:tcPr>
            <w:tcW w:w="1276" w:type="dxa"/>
            <w:shd w:val="clear" w:color="auto" w:fill="auto"/>
            <w:noWrap/>
          </w:tcPr>
          <w:p>
            <w:pPr>
              <w:widowControl/>
              <w:jc w:val="left"/>
              <w:rPr>
                <w:rFonts w:ascii="宋体" w:hAnsi="宋体" w:cs="Arial"/>
                <w:kern w:val="0"/>
                <w:sz w:val="24"/>
              </w:rPr>
            </w:pPr>
          </w:p>
        </w:tc>
      </w:tr>
    </w:tbl>
    <w:p>
      <w:pPr>
        <w:adjustRightInd/>
        <w:snapToGrid/>
        <w:spacing w:line="240" w:lineRule="auto"/>
      </w:pPr>
    </w:p>
    <w:p>
      <w:pPr>
        <w:adjustRightInd/>
        <w:snapToGrid/>
        <w:spacing w:line="240" w:lineRule="auto"/>
        <w:rPr>
          <w:rFonts w:ascii="Times New Roman" w:hAnsi="Times New Roman"/>
        </w:rPr>
      </w:pPr>
    </w:p>
    <w:p>
      <w:pPr>
        <w:adjustRightInd w:val="0"/>
        <w:snapToGrid w:val="0"/>
        <w:spacing w:line="360" w:lineRule="auto"/>
        <w:rPr>
          <w:rFonts w:ascii="宋体" w:hAnsi="宋体"/>
        </w:rPr>
      </w:pPr>
      <w:r>
        <w:rPr>
          <w:rFonts w:hint="eastAsia" w:ascii="宋体" w:hAnsi="宋体"/>
        </w:rPr>
        <w:t>说明：1.笔记本包括平板和移动工作站，工作站包括台式机；</w:t>
      </w:r>
    </w:p>
    <w:p>
      <w:pPr>
        <w:adjustRightInd w:val="0"/>
        <w:snapToGrid w:val="0"/>
        <w:spacing w:line="360" w:lineRule="auto"/>
        <w:ind w:firstLine="630" w:firstLineChars="300"/>
        <w:rPr>
          <w:rFonts w:ascii="宋体" w:hAnsi="宋体"/>
        </w:rPr>
      </w:pPr>
      <w:r>
        <w:rPr>
          <w:rFonts w:hint="eastAsia" w:ascii="宋体" w:hAnsi="宋体"/>
        </w:rPr>
        <w:t>2.在提供技术服务的过程中，如有需要由供应商向采购方提供的物品和文件，供应商应按照采购方要求或习惯的方式进行交付。</w:t>
      </w:r>
    </w:p>
    <w:p>
      <w:pPr>
        <w:adjustRightInd w:val="0"/>
        <w:snapToGrid w:val="0"/>
        <w:spacing w:line="360" w:lineRule="auto"/>
        <w:ind w:firstLine="630" w:firstLineChars="300"/>
        <w:rPr>
          <w:rFonts w:ascii="宋体" w:hAnsi="宋体"/>
        </w:rPr>
      </w:pPr>
      <w:r>
        <w:rPr>
          <w:rFonts w:hint="eastAsia" w:ascii="宋体" w:hAnsi="宋体"/>
        </w:rPr>
        <w:t>3.对采购方提出的紧急服务必须当天响应并服务支持。</w:t>
      </w:r>
    </w:p>
    <w:p>
      <w:pPr>
        <w:adjustRightInd w:val="0"/>
        <w:snapToGrid w:val="0"/>
        <w:spacing w:line="360" w:lineRule="auto"/>
        <w:ind w:firstLine="630" w:firstLineChars="300"/>
        <w:rPr>
          <w:rFonts w:ascii="宋体" w:hAnsi="宋体"/>
        </w:rPr>
      </w:pPr>
      <w:r>
        <w:rPr>
          <w:rFonts w:hint="eastAsia" w:ascii="宋体" w:hAnsi="宋体"/>
        </w:rPr>
        <w:t>4.维修需更换的配件价格以京东自营价格为参考（定制类设备配件价格以报价单内价格为准）；本表未列明维修服务以实际发生采购合同为准，各大平台没有相类似报价的，参照原厂服务报价，原则上不高于以上服务报价。</w:t>
      </w:r>
    </w:p>
    <w:p>
      <w:pPr>
        <w:adjustRightInd w:val="0"/>
        <w:snapToGrid w:val="0"/>
        <w:spacing w:line="360" w:lineRule="auto"/>
        <w:ind w:firstLine="630" w:firstLineChars="300"/>
        <w:rPr>
          <w:rFonts w:ascii="宋体" w:hAnsi="宋体"/>
        </w:rPr>
      </w:pPr>
      <w:r>
        <w:rPr>
          <w:rFonts w:hint="eastAsia" w:ascii="宋体" w:hAnsi="宋体"/>
        </w:rPr>
        <w:t>5.上门服务费为解决本次维修当日所有维修的费用包括取件及送件。</w:t>
      </w:r>
    </w:p>
    <w:p>
      <w:pPr>
        <w:adjustRightInd w:val="0"/>
        <w:snapToGrid w:val="0"/>
        <w:spacing w:line="360" w:lineRule="auto"/>
        <w:ind w:firstLine="630" w:firstLineChars="300"/>
        <w:rPr>
          <w:rFonts w:ascii="宋体" w:hAnsi="宋体"/>
        </w:rPr>
      </w:pPr>
      <w:r>
        <w:rPr>
          <w:rFonts w:hint="eastAsia" w:ascii="宋体" w:hAnsi="宋体"/>
        </w:rPr>
        <w:t>6.以上所有分项报价均为含税价格</w:t>
      </w:r>
    </w:p>
    <w:p/>
    <w:p>
      <w:pPr>
        <w:pStyle w:val="2"/>
      </w:pPr>
    </w:p>
    <w:p>
      <w:pPr>
        <w:adjustRightInd w:val="0"/>
        <w:snapToGrid w:val="0"/>
        <w:spacing w:line="440" w:lineRule="exact"/>
        <w:ind w:left="-88" w:leftChars="-42"/>
        <w:rPr>
          <w:rFonts w:ascii="宋体" w:hAnsi="宋体"/>
          <w:szCs w:val="21"/>
        </w:rPr>
      </w:pPr>
    </w:p>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440" w:lineRule="exact"/>
        <w:ind w:firstLine="840" w:firstLineChars="400"/>
        <w:rPr>
          <w:rFonts w:ascii="等线" w:hAnsi="等线"/>
          <w:b/>
          <w:szCs w:val="21"/>
        </w:rPr>
      </w:pPr>
      <w:r>
        <w:rPr>
          <w:rFonts w:ascii="宋体" w:hAnsi="宋体"/>
        </w:rPr>
        <w:t>年    月    日</w:t>
      </w:r>
    </w:p>
    <w:p>
      <w:pPr>
        <w:adjustRightInd w:val="0"/>
        <w:snapToGrid w:val="0"/>
        <w:spacing w:line="440" w:lineRule="exact"/>
        <w:rPr>
          <w:rFonts w:ascii="等线" w:hAnsi="等线"/>
          <w:b/>
          <w:szCs w:val="21"/>
        </w:rPr>
      </w:pPr>
    </w:p>
    <w:p>
      <w:pPr>
        <w:adjustRightInd w:val="0"/>
        <w:snapToGrid w:val="0"/>
        <w:spacing w:line="360" w:lineRule="auto"/>
        <w:rPr>
          <w:rFonts w:ascii="宋体" w:hAnsi="宋体"/>
        </w:rPr>
      </w:pPr>
      <w:r>
        <w:rPr>
          <w:rFonts w:ascii="宋体" w:hAnsi="宋体"/>
          <w:sz w:val="24"/>
        </w:rPr>
        <w:t xml:space="preserve"> </w:t>
      </w:r>
      <w:r>
        <w:rPr>
          <w:rFonts w:hint="eastAsia" w:ascii="宋体" w:hAnsi="宋体"/>
          <w:bCs/>
          <w:sz w:val="24"/>
        </w:rPr>
        <w:t xml:space="preserve">            </w:t>
      </w:r>
      <w:r>
        <w:rPr>
          <w:rFonts w:ascii="宋体" w:hAnsi="宋体"/>
        </w:rPr>
        <w:t xml:space="preserve">   </w:t>
      </w:r>
    </w:p>
    <w:p>
      <w:pPr>
        <w:pStyle w:val="25"/>
        <w:sectPr>
          <w:pgSz w:w="11906" w:h="16838"/>
          <w:pgMar w:top="1803" w:right="1440" w:bottom="1803" w:left="1440" w:header="851" w:footer="992" w:gutter="0"/>
          <w:cols w:space="720" w:num="1"/>
          <w:docGrid w:linePitch="315" w:charSpace="0"/>
        </w:sectPr>
      </w:pPr>
    </w:p>
    <w:p>
      <w:pPr>
        <w:pStyle w:val="25"/>
        <w:jc w:val="left"/>
        <w:sectPr>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三、商务要求响应表</w:t>
      </w:r>
    </w:p>
    <w:p>
      <w:pPr>
        <w:widowControl/>
        <w:adjustRightInd w:val="0"/>
        <w:snapToGrid w:val="0"/>
        <w:ind w:left="5250" w:leftChars="2500"/>
        <w:rPr>
          <w:rFonts w:ascii="宋体" w:hAnsi="宋体"/>
          <w:b/>
          <w:sz w:val="28"/>
          <w:szCs w:val="28"/>
        </w:rPr>
      </w:pPr>
      <w:r>
        <w:rPr>
          <w:rFonts w:hint="eastAsia" w:ascii="宋体" w:hAnsi="宋体"/>
          <w:b/>
          <w:sz w:val="28"/>
          <w:szCs w:val="28"/>
        </w:rPr>
        <w:t>商务要求响应表</w:t>
      </w:r>
    </w:p>
    <w:p>
      <w:pPr>
        <w:adjustRightInd w:val="0"/>
        <w:snapToGrid w:val="0"/>
        <w:spacing w:line="360" w:lineRule="auto"/>
        <w:ind w:left="-88" w:leftChars="-42" w:firstLine="1680" w:firstLineChars="800"/>
        <w:rPr>
          <w:rFonts w:ascii="宋体" w:hAnsi="宋体"/>
          <w:szCs w:val="21"/>
          <w:u w:val="single"/>
        </w:rPr>
      </w:pPr>
    </w:p>
    <w:tbl>
      <w:tblPr>
        <w:tblStyle w:val="33"/>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对所有商务要求均响应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竞争性谈判文件的商务要求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8"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rPr>
          <w:rFonts w:ascii="宋体" w:hAnsi="宋体"/>
          <w:b/>
          <w:bCs/>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adjustRightInd w:val="0"/>
        <w:snapToGrid w:val="0"/>
        <w:jc w:val="right"/>
        <w:rPr>
          <w:rFonts w:ascii="宋体" w:hAnsi="宋体"/>
          <w:b/>
          <w:bCs/>
          <w:sz w:val="24"/>
        </w:rPr>
      </w:pPr>
      <w:r>
        <w:rPr>
          <w:rFonts w:hint="eastAsia" w:ascii="宋体" w:hAnsi="宋体"/>
          <w:sz w:val="24"/>
        </w:rPr>
        <w:t xml:space="preserve">       年      月     日</w:t>
      </w: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四、技术要求响应表</w:t>
      </w:r>
    </w:p>
    <w:p>
      <w:pPr>
        <w:adjustRightInd w:val="0"/>
        <w:snapToGrid w:val="0"/>
        <w:ind w:left="-88" w:leftChars="-42"/>
        <w:jc w:val="center"/>
        <w:rPr>
          <w:rFonts w:ascii="宋体" w:hAnsi="宋体"/>
          <w:b/>
          <w:sz w:val="28"/>
          <w:szCs w:val="28"/>
        </w:rPr>
      </w:pPr>
      <w:r>
        <w:rPr>
          <w:rFonts w:hint="eastAsia" w:ascii="黑体" w:hAnsi="宋体" w:eastAsia="黑体"/>
          <w:sz w:val="30"/>
          <w:szCs w:val="30"/>
        </w:rPr>
        <w:t>技术</w:t>
      </w:r>
      <w:r>
        <w:rPr>
          <w:rFonts w:hint="eastAsia" w:ascii="宋体" w:hAnsi="宋体"/>
          <w:b/>
          <w:sz w:val="28"/>
          <w:szCs w:val="28"/>
        </w:rPr>
        <w:t>要求响应表</w:t>
      </w:r>
    </w:p>
    <w:p>
      <w:pPr>
        <w:adjustRightInd w:val="0"/>
        <w:snapToGrid w:val="0"/>
        <w:spacing w:line="360" w:lineRule="auto"/>
        <w:ind w:left="-88" w:leftChars="-42" w:firstLine="630" w:firstLineChars="300"/>
        <w:rPr>
          <w:rFonts w:ascii="宋体" w:hAnsi="宋体"/>
          <w:szCs w:val="21"/>
          <w:u w:val="single"/>
        </w:rPr>
      </w:pPr>
    </w:p>
    <w:tbl>
      <w:tblPr>
        <w:tblStyle w:val="33"/>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对所有技术要求均响应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竞争性谈判文件的</w:t>
            </w:r>
          </w:p>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26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ascii="黑体" w:hAnsi="黑体" w:eastAsia="黑体" w:cs="黑体"/>
                <w:bCs/>
                <w:sz w:val="24"/>
              </w:rPr>
            </w:pPr>
            <w:r>
              <w:rPr>
                <w:rFonts w:hint="eastAsia" w:ascii="黑体" w:hAnsi="黑体" w:eastAsia="黑体" w:cs="黑体"/>
                <w:bCs/>
                <w:sz w:val="24"/>
              </w:rPr>
              <w:t>相关证明材料在响应文件中的具体位置（页码）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adjustRightInd w:val="0"/>
        <w:snapToGrid w:val="0"/>
        <w:rPr>
          <w:rFonts w:ascii="宋体" w:hAnsi="宋体"/>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spacing w:line="360" w:lineRule="auto"/>
        <w:jc w:val="right"/>
        <w:rPr>
          <w:rFonts w:ascii="宋体" w:hAnsi="宋体"/>
          <w:b/>
          <w:bCs/>
          <w:sz w:val="24"/>
        </w:rPr>
      </w:pPr>
      <w:r>
        <w:rPr>
          <w:rFonts w:hint="eastAsia" w:ascii="宋体" w:hAnsi="宋体"/>
          <w:sz w:val="24"/>
        </w:rPr>
        <w:t xml:space="preserve">       年      月      日</w:t>
      </w:r>
    </w:p>
    <w:p>
      <w:pPr>
        <w:widowControl/>
        <w:spacing w:line="360" w:lineRule="auto"/>
        <w:rPr>
          <w:rFonts w:ascii="宋体" w:hAnsi="宋体"/>
          <w:b/>
          <w:bCs/>
          <w:sz w:val="24"/>
        </w:rPr>
        <w:sectPr>
          <w:headerReference r:id="rId5" w:type="default"/>
          <w:footerReference r:id="rId6" w:type="default"/>
          <w:type w:val="continuous"/>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五、法定代表人声明（适用于法定代表人响应）</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方正小标宋简体" w:hAnsi="方正小标宋简体" w:eastAsia="方正小标宋简体" w:cs="方正小标宋简体"/>
          <w:b/>
          <w:color w:val="0D0D0D"/>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ascii="黑体" w:hAnsi="宋体" w:eastAsia="黑体"/>
          <w:sz w:val="30"/>
          <w:szCs w:val="30"/>
        </w:rPr>
      </w:pPr>
      <w:r>
        <w:rPr>
          <w:rFonts w:hint="eastAsia" w:ascii="宋体" w:hAnsi="宋体"/>
          <w:b/>
          <w:sz w:val="24"/>
        </w:rPr>
        <w:br w:type="page"/>
      </w:r>
      <w:r>
        <w:rPr>
          <w:rFonts w:hint="eastAsia" w:ascii="黑体" w:hAnsi="宋体" w:eastAsia="黑体"/>
          <w:sz w:val="30"/>
          <w:szCs w:val="30"/>
        </w:rPr>
        <w:t>六、法定代表人授权委托书（适用于授权委托人响应）</w:t>
      </w:r>
    </w:p>
    <w:p>
      <w:pPr>
        <w:widowControl/>
        <w:wordWrap w:val="0"/>
        <w:jc w:val="center"/>
        <w:rPr>
          <w:rFonts w:ascii="宋体" w:hAnsi="宋体"/>
          <w:kern w:val="0"/>
          <w:sz w:val="28"/>
          <w:szCs w:val="28"/>
        </w:rPr>
      </w:pPr>
    </w:p>
    <w:p>
      <w:pPr>
        <w:spacing w:line="360" w:lineRule="auto"/>
        <w:jc w:val="center"/>
        <w:rPr>
          <w:rFonts w:ascii="方正小标宋简体" w:hAnsi="方正小标宋简体" w:eastAsia="方正小标宋简体" w:cs="方正小标宋简体"/>
          <w:b/>
          <w:sz w:val="36"/>
          <w:szCs w:val="36"/>
        </w:rPr>
      </w:pPr>
      <w:bookmarkStart w:id="24"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上海飞机客户服务有限公司桌面终端及备品备件运维服务项目      </w:t>
      </w:r>
      <w:r>
        <w:rPr>
          <w:rFonts w:hint="eastAsia" w:ascii="宋体" w:hAnsi="宋体"/>
          <w:sz w:val="24"/>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24"/>
    </w:p>
    <w:p>
      <w:pPr>
        <w:spacing w:line="300" w:lineRule="auto"/>
        <w:ind w:right="420"/>
        <w:rPr>
          <w:rFonts w:ascii="宋体" w:hAnsi="宋体"/>
          <w:sz w:val="24"/>
        </w:rPr>
      </w:pPr>
    </w:p>
    <w:p>
      <w:pPr>
        <w:spacing w:line="300" w:lineRule="auto"/>
        <w:ind w:right="420"/>
        <w:outlineLvl w:val="1"/>
        <w:rPr>
          <w:rFonts w:ascii="黑体" w:hAnsi="宋体" w:eastAsia="黑体"/>
          <w:sz w:val="30"/>
          <w:szCs w:val="30"/>
        </w:rPr>
      </w:pPr>
      <w:r>
        <w:rPr>
          <w:rFonts w:hint="eastAsia" w:ascii="宋体" w:hAnsi="宋体"/>
          <w:sz w:val="24"/>
        </w:rPr>
        <w:br w:type="page"/>
      </w:r>
      <w:r>
        <w:rPr>
          <w:rFonts w:hint="eastAsia" w:ascii="黑体" w:hAnsi="宋体" w:eastAsia="黑体"/>
          <w:sz w:val="30"/>
          <w:szCs w:val="30"/>
        </w:rPr>
        <w:t>七、廉洁协议</w:t>
      </w:r>
    </w:p>
    <w:p>
      <w:pPr>
        <w:tabs>
          <w:tab w:val="left" w:pos="6300"/>
        </w:tabs>
        <w:snapToGrid w:val="0"/>
        <w:spacing w:line="460" w:lineRule="exact"/>
        <w:ind w:leftChars="0" w:firstLine="573"/>
        <w:rPr>
          <w:rFonts w:hint="eastAsia" w:ascii="宋体" w:hAnsi="宋体"/>
          <w:sz w:val="24"/>
          <w:szCs w:val="24"/>
        </w:rPr>
      </w:pPr>
      <w:r>
        <w:rPr>
          <w:rFonts w:hint="eastAsia" w:ascii="宋体" w:hAnsi="宋体"/>
          <w:sz w:val="24"/>
          <w:szCs w:val="24"/>
        </w:rPr>
        <w:t>项目名称：上海飞机客户服务有限公司桌面终端及备品备件运维服务</w:t>
      </w:r>
    </w:p>
    <w:p>
      <w:pPr>
        <w:tabs>
          <w:tab w:val="left" w:pos="6300"/>
        </w:tabs>
        <w:snapToGrid w:val="0"/>
        <w:spacing w:line="460" w:lineRule="exact"/>
        <w:ind w:leftChars="0" w:firstLine="573"/>
        <w:rPr>
          <w:rFonts w:hint="eastAsia" w:ascii="宋体" w:hAnsi="宋体"/>
          <w:sz w:val="24"/>
          <w:szCs w:val="24"/>
        </w:rPr>
      </w:pPr>
      <w:bookmarkStart w:id="25" w:name="_Toc11907_WPSOffice_Level1"/>
      <w:bookmarkStart w:id="26" w:name="_Toc11341_WPSOffice_Level1"/>
      <w:bookmarkStart w:id="27" w:name="_Toc26253_WPSOffice_Level1"/>
      <w:r>
        <w:rPr>
          <w:rFonts w:hint="eastAsia" w:ascii="宋体" w:hAnsi="宋体"/>
          <w:sz w:val="24"/>
          <w:szCs w:val="24"/>
        </w:rPr>
        <w:t>甲  方：</w:t>
      </w:r>
      <w:bookmarkEnd w:id="25"/>
      <w:bookmarkEnd w:id="26"/>
      <w:bookmarkEnd w:id="27"/>
      <w:r>
        <w:rPr>
          <w:rFonts w:hint="eastAsia" w:ascii="宋体" w:hAnsi="宋体"/>
          <w:sz w:val="24"/>
          <w:szCs w:val="24"/>
        </w:rPr>
        <w:t>上海飞机客户服务有限公司</w:t>
      </w:r>
    </w:p>
    <w:p>
      <w:pPr>
        <w:tabs>
          <w:tab w:val="left" w:pos="6300"/>
        </w:tabs>
        <w:snapToGrid w:val="0"/>
        <w:spacing w:line="460" w:lineRule="exact"/>
        <w:ind w:leftChars="0" w:firstLine="573"/>
        <w:rPr>
          <w:rFonts w:hint="eastAsia" w:ascii="宋体" w:hAnsi="宋体"/>
          <w:sz w:val="24"/>
          <w:szCs w:val="24"/>
        </w:rPr>
      </w:pPr>
      <w:bookmarkStart w:id="28" w:name="_Toc31341_WPSOffice_Level1"/>
      <w:bookmarkStart w:id="29" w:name="_Toc27021_WPSOffice_Level1"/>
      <w:bookmarkStart w:id="30" w:name="_Toc25445_WPSOffice_Level1"/>
      <w:r>
        <w:rPr>
          <w:rFonts w:hint="eastAsia" w:ascii="宋体" w:hAnsi="宋体"/>
          <w:sz w:val="24"/>
          <w:szCs w:val="24"/>
        </w:rPr>
        <w:t>乙  方：</w:t>
      </w:r>
      <w:bookmarkEnd w:id="28"/>
      <w:bookmarkEnd w:id="29"/>
      <w:bookmarkEnd w:id="30"/>
    </w:p>
    <w:p>
      <w:pPr>
        <w:tabs>
          <w:tab w:val="left" w:pos="6300"/>
        </w:tabs>
        <w:snapToGrid w:val="0"/>
        <w:spacing w:line="460" w:lineRule="exact"/>
        <w:ind w:firstLine="573"/>
        <w:rPr>
          <w:rFonts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ascii="宋体" w:hAnsi="宋体"/>
          <w:sz w:val="24"/>
        </w:rPr>
      </w:pPr>
      <w:r>
        <w:rPr>
          <w:rFonts w:hint="eastAsia" w:ascii="宋体" w:hAnsi="宋体"/>
          <w:sz w:val="24"/>
        </w:rPr>
        <w:t>七、本协议作为《桌面终端及备品备件运维服务》响应文件的附件，具有与其同等的法律效力。</w:t>
      </w:r>
    </w:p>
    <w:p>
      <w:pPr>
        <w:pStyle w:val="25"/>
        <w:jc w:val="center"/>
        <w:rPr>
          <w:rFonts w:ascii="黑体" w:hAnsi="宋体" w:eastAsia="黑体"/>
          <w:sz w:val="30"/>
          <w:szCs w:val="30"/>
        </w:rPr>
      </w:pPr>
    </w:p>
    <w:sectPr>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ATDnqJ&#10;sAEAAEkDAAAOAAAAAAAAAAEAIAAAACIBAABkcnMvZTJvRG9jLnhtbFBLBQYAAAAABgAGAFkBAABE&#10;BQAAAAA=&#10;">
              <v:fill on="f" focussize="0,0"/>
              <v:stroke on="f" weight="1.25pt"/>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D57742C5"/>
    <w:multiLevelType w:val="singleLevel"/>
    <w:tmpl w:val="D57742C5"/>
    <w:lvl w:ilvl="0" w:tentative="0">
      <w:start w:val="1"/>
      <w:numFmt w:val="decimal"/>
      <w:suff w:val="nothing"/>
      <w:lvlText w:val="（%1）"/>
      <w:lvlJc w:val="left"/>
    </w:lvl>
  </w:abstractNum>
  <w:abstractNum w:abstractNumId="6">
    <w:nsid w:val="EECD0AED"/>
    <w:multiLevelType w:val="singleLevel"/>
    <w:tmpl w:val="EECD0AED"/>
    <w:lvl w:ilvl="0" w:tentative="0">
      <w:start w:val="1"/>
      <w:numFmt w:val="decimal"/>
      <w:suff w:val="nothing"/>
      <w:lvlText w:val="（%1）"/>
      <w:lvlJc w:val="left"/>
    </w:lvl>
  </w:abstractNum>
  <w:abstractNum w:abstractNumId="7">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8">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9">
    <w:nsid w:val="323A1EF1"/>
    <w:multiLevelType w:val="multilevel"/>
    <w:tmpl w:val="323A1EF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23DA0C3"/>
    <w:multiLevelType w:val="singleLevel"/>
    <w:tmpl w:val="323DA0C3"/>
    <w:lvl w:ilvl="0" w:tentative="0">
      <w:start w:val="1"/>
      <w:numFmt w:val="decimal"/>
      <w:suff w:val="nothing"/>
      <w:lvlText w:val="%1）"/>
      <w:lvlJc w:val="left"/>
    </w:lvl>
  </w:abstractNum>
  <w:abstractNum w:abstractNumId="11">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2">
    <w:nsid w:val="7318D1E3"/>
    <w:multiLevelType w:val="singleLevel"/>
    <w:tmpl w:val="7318D1E3"/>
    <w:lvl w:ilvl="0" w:tentative="0">
      <w:start w:val="1"/>
      <w:numFmt w:val="decimal"/>
      <w:suff w:val="nothing"/>
      <w:lvlText w:val="（%1）"/>
      <w:lvlJc w:val="left"/>
    </w:lvl>
  </w:abstractNum>
  <w:abstractNum w:abstractNumId="13">
    <w:nsid w:val="752F6DD9"/>
    <w:multiLevelType w:val="singleLevel"/>
    <w:tmpl w:val="752F6DD9"/>
    <w:lvl w:ilvl="0" w:tentative="0">
      <w:start w:val="1"/>
      <w:numFmt w:val="decimal"/>
      <w:lvlText w:val="%1)"/>
      <w:lvlJc w:val="left"/>
      <w:pPr>
        <w:ind w:left="425" w:hanging="425"/>
      </w:pPr>
      <w:rPr>
        <w:rFonts w:hint="default"/>
      </w:rPr>
    </w:lvl>
  </w:abstractNum>
  <w:abstractNum w:abstractNumId="14">
    <w:nsid w:val="790E4EA7"/>
    <w:multiLevelType w:val="multilevel"/>
    <w:tmpl w:val="790E4EA7"/>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4"/>
  </w:num>
  <w:num w:numId="3">
    <w:abstractNumId w:val="13"/>
  </w:num>
  <w:num w:numId="4">
    <w:abstractNumId w:val="1"/>
  </w:num>
  <w:num w:numId="5">
    <w:abstractNumId w:val="0"/>
  </w:num>
  <w:num w:numId="6">
    <w:abstractNumId w:val="3"/>
  </w:num>
  <w:num w:numId="7">
    <w:abstractNumId w:val="11"/>
  </w:num>
  <w:num w:numId="8">
    <w:abstractNumId w:val="10"/>
  </w:num>
  <w:num w:numId="9">
    <w:abstractNumId w:val="12"/>
  </w:num>
  <w:num w:numId="10">
    <w:abstractNumId w:val="6"/>
  </w:num>
  <w:num w:numId="11">
    <w:abstractNumId w:val="8"/>
  </w:num>
  <w:num w:numId="12">
    <w:abstractNumId w:val="7"/>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0"/>
  <w:drawingGridVerticalSpacing w:val="-794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2EC4"/>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4ABC"/>
    <w:rsid w:val="00205517"/>
    <w:rsid w:val="002072A1"/>
    <w:rsid w:val="00214AF9"/>
    <w:rsid w:val="0021591B"/>
    <w:rsid w:val="00215A03"/>
    <w:rsid w:val="00216B6D"/>
    <w:rsid w:val="0021720E"/>
    <w:rsid w:val="002201E8"/>
    <w:rsid w:val="0022197C"/>
    <w:rsid w:val="002234DC"/>
    <w:rsid w:val="0022718A"/>
    <w:rsid w:val="00227F49"/>
    <w:rsid w:val="002305DD"/>
    <w:rsid w:val="00231661"/>
    <w:rsid w:val="002411DC"/>
    <w:rsid w:val="00241E13"/>
    <w:rsid w:val="00242058"/>
    <w:rsid w:val="00245ED3"/>
    <w:rsid w:val="002476E3"/>
    <w:rsid w:val="00251932"/>
    <w:rsid w:val="00251F7E"/>
    <w:rsid w:val="002533AA"/>
    <w:rsid w:val="0026261D"/>
    <w:rsid w:val="00264664"/>
    <w:rsid w:val="002675BE"/>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2A2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47305"/>
    <w:rsid w:val="0035127E"/>
    <w:rsid w:val="00351A69"/>
    <w:rsid w:val="00351FAA"/>
    <w:rsid w:val="00353D46"/>
    <w:rsid w:val="0036668F"/>
    <w:rsid w:val="00370FEE"/>
    <w:rsid w:val="003721F9"/>
    <w:rsid w:val="00373283"/>
    <w:rsid w:val="00375ED7"/>
    <w:rsid w:val="003761DF"/>
    <w:rsid w:val="00377788"/>
    <w:rsid w:val="00377BD8"/>
    <w:rsid w:val="00383878"/>
    <w:rsid w:val="00390004"/>
    <w:rsid w:val="003900F1"/>
    <w:rsid w:val="003903FF"/>
    <w:rsid w:val="003905EB"/>
    <w:rsid w:val="00391164"/>
    <w:rsid w:val="00396678"/>
    <w:rsid w:val="00397FA0"/>
    <w:rsid w:val="003A1D3D"/>
    <w:rsid w:val="003A4ACB"/>
    <w:rsid w:val="003A5AFF"/>
    <w:rsid w:val="003A603D"/>
    <w:rsid w:val="003A68FF"/>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5AA4"/>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CC9"/>
    <w:rsid w:val="00476E0F"/>
    <w:rsid w:val="004815D8"/>
    <w:rsid w:val="004862BA"/>
    <w:rsid w:val="004863E3"/>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E756C"/>
    <w:rsid w:val="004F1198"/>
    <w:rsid w:val="004F1805"/>
    <w:rsid w:val="004F221A"/>
    <w:rsid w:val="004F42CA"/>
    <w:rsid w:val="005004A7"/>
    <w:rsid w:val="005047C5"/>
    <w:rsid w:val="005051C1"/>
    <w:rsid w:val="005151F4"/>
    <w:rsid w:val="00515304"/>
    <w:rsid w:val="005153C7"/>
    <w:rsid w:val="00517E2C"/>
    <w:rsid w:val="00517F7F"/>
    <w:rsid w:val="00522EF4"/>
    <w:rsid w:val="00523487"/>
    <w:rsid w:val="00523DEF"/>
    <w:rsid w:val="005251C0"/>
    <w:rsid w:val="005254AE"/>
    <w:rsid w:val="005278B0"/>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677F6"/>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62E7"/>
    <w:rsid w:val="00687657"/>
    <w:rsid w:val="00690FBE"/>
    <w:rsid w:val="0069264B"/>
    <w:rsid w:val="00694720"/>
    <w:rsid w:val="006968FE"/>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745"/>
    <w:rsid w:val="00713581"/>
    <w:rsid w:val="00716D4F"/>
    <w:rsid w:val="007218BC"/>
    <w:rsid w:val="00725ABF"/>
    <w:rsid w:val="00731381"/>
    <w:rsid w:val="00733E21"/>
    <w:rsid w:val="00734388"/>
    <w:rsid w:val="007369A0"/>
    <w:rsid w:val="00737021"/>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6FAB"/>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7F"/>
    <w:rsid w:val="00817593"/>
    <w:rsid w:val="008259B3"/>
    <w:rsid w:val="00833B27"/>
    <w:rsid w:val="00833C4B"/>
    <w:rsid w:val="008428CC"/>
    <w:rsid w:val="00845666"/>
    <w:rsid w:val="00845F52"/>
    <w:rsid w:val="0085346A"/>
    <w:rsid w:val="00854160"/>
    <w:rsid w:val="00856F95"/>
    <w:rsid w:val="00863B24"/>
    <w:rsid w:val="00864F91"/>
    <w:rsid w:val="0086698A"/>
    <w:rsid w:val="00866BCD"/>
    <w:rsid w:val="00866DB5"/>
    <w:rsid w:val="0086756B"/>
    <w:rsid w:val="00870713"/>
    <w:rsid w:val="008739E6"/>
    <w:rsid w:val="0087796A"/>
    <w:rsid w:val="00882970"/>
    <w:rsid w:val="00885549"/>
    <w:rsid w:val="00892F72"/>
    <w:rsid w:val="008956F7"/>
    <w:rsid w:val="00897F8F"/>
    <w:rsid w:val="008A2B98"/>
    <w:rsid w:val="008B29C0"/>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09"/>
    <w:rsid w:val="00985569"/>
    <w:rsid w:val="00994300"/>
    <w:rsid w:val="0099764F"/>
    <w:rsid w:val="009A09AD"/>
    <w:rsid w:val="009A40D9"/>
    <w:rsid w:val="009A7C95"/>
    <w:rsid w:val="009B1B46"/>
    <w:rsid w:val="009B1E14"/>
    <w:rsid w:val="009B292B"/>
    <w:rsid w:val="009B5C12"/>
    <w:rsid w:val="009D1618"/>
    <w:rsid w:val="009D309B"/>
    <w:rsid w:val="009D476A"/>
    <w:rsid w:val="009D48B6"/>
    <w:rsid w:val="009E5295"/>
    <w:rsid w:val="009E6743"/>
    <w:rsid w:val="009E6981"/>
    <w:rsid w:val="009F2AF5"/>
    <w:rsid w:val="009F4571"/>
    <w:rsid w:val="009F4915"/>
    <w:rsid w:val="009F5AF1"/>
    <w:rsid w:val="009F65EC"/>
    <w:rsid w:val="00A00091"/>
    <w:rsid w:val="00A02E49"/>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097"/>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3ECA"/>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091B"/>
    <w:rsid w:val="00B25D21"/>
    <w:rsid w:val="00B311D2"/>
    <w:rsid w:val="00B34B75"/>
    <w:rsid w:val="00B41897"/>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6EB"/>
    <w:rsid w:val="00B82B74"/>
    <w:rsid w:val="00B834A9"/>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368A0"/>
    <w:rsid w:val="00C424CF"/>
    <w:rsid w:val="00C42769"/>
    <w:rsid w:val="00C51EFB"/>
    <w:rsid w:val="00C54160"/>
    <w:rsid w:val="00C54536"/>
    <w:rsid w:val="00C57A73"/>
    <w:rsid w:val="00C60EB7"/>
    <w:rsid w:val="00C620CE"/>
    <w:rsid w:val="00C635F8"/>
    <w:rsid w:val="00C63E18"/>
    <w:rsid w:val="00C64885"/>
    <w:rsid w:val="00C661D3"/>
    <w:rsid w:val="00C668AA"/>
    <w:rsid w:val="00C76B3D"/>
    <w:rsid w:val="00C816B7"/>
    <w:rsid w:val="00C818FD"/>
    <w:rsid w:val="00C91576"/>
    <w:rsid w:val="00C92C81"/>
    <w:rsid w:val="00C93FE3"/>
    <w:rsid w:val="00C96300"/>
    <w:rsid w:val="00C96410"/>
    <w:rsid w:val="00CA2E62"/>
    <w:rsid w:val="00CA43D9"/>
    <w:rsid w:val="00CA5499"/>
    <w:rsid w:val="00CB1724"/>
    <w:rsid w:val="00CB1820"/>
    <w:rsid w:val="00CB26A7"/>
    <w:rsid w:val="00CB7381"/>
    <w:rsid w:val="00CC187C"/>
    <w:rsid w:val="00CC4692"/>
    <w:rsid w:val="00CC5138"/>
    <w:rsid w:val="00CC5755"/>
    <w:rsid w:val="00CC7580"/>
    <w:rsid w:val="00CD0957"/>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5992"/>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08B4"/>
    <w:rsid w:val="00D661A1"/>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DF4309"/>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27A"/>
    <w:rsid w:val="00E95A94"/>
    <w:rsid w:val="00E9653B"/>
    <w:rsid w:val="00E97B97"/>
    <w:rsid w:val="00EA220F"/>
    <w:rsid w:val="00EA3757"/>
    <w:rsid w:val="00EA5B2E"/>
    <w:rsid w:val="00EA6CB6"/>
    <w:rsid w:val="00EC22CD"/>
    <w:rsid w:val="00EC6AC4"/>
    <w:rsid w:val="00EC6F74"/>
    <w:rsid w:val="00ED080A"/>
    <w:rsid w:val="00ED6BD8"/>
    <w:rsid w:val="00ED7AE7"/>
    <w:rsid w:val="00EE0116"/>
    <w:rsid w:val="00EE3BC8"/>
    <w:rsid w:val="00EE769A"/>
    <w:rsid w:val="00EF040A"/>
    <w:rsid w:val="00EF1D7F"/>
    <w:rsid w:val="00EF58F6"/>
    <w:rsid w:val="00EF5EDD"/>
    <w:rsid w:val="00F0196E"/>
    <w:rsid w:val="00F02421"/>
    <w:rsid w:val="00F106AA"/>
    <w:rsid w:val="00F150E5"/>
    <w:rsid w:val="00F17354"/>
    <w:rsid w:val="00F20222"/>
    <w:rsid w:val="00F204DC"/>
    <w:rsid w:val="00F22891"/>
    <w:rsid w:val="00F23E9A"/>
    <w:rsid w:val="00F24119"/>
    <w:rsid w:val="00F31664"/>
    <w:rsid w:val="00F31AB8"/>
    <w:rsid w:val="00F34756"/>
    <w:rsid w:val="00F3786D"/>
    <w:rsid w:val="00F50E19"/>
    <w:rsid w:val="00F5362D"/>
    <w:rsid w:val="00F57135"/>
    <w:rsid w:val="00F6722F"/>
    <w:rsid w:val="00F707B0"/>
    <w:rsid w:val="00F70BF1"/>
    <w:rsid w:val="00F76D5A"/>
    <w:rsid w:val="00F779D3"/>
    <w:rsid w:val="00F81236"/>
    <w:rsid w:val="00F81AF7"/>
    <w:rsid w:val="00F836B4"/>
    <w:rsid w:val="00F83FD1"/>
    <w:rsid w:val="00F843B3"/>
    <w:rsid w:val="00F86D85"/>
    <w:rsid w:val="00F924C6"/>
    <w:rsid w:val="00F96AE7"/>
    <w:rsid w:val="00FA019B"/>
    <w:rsid w:val="00FA0F7A"/>
    <w:rsid w:val="00FA14DA"/>
    <w:rsid w:val="00FA2BA9"/>
    <w:rsid w:val="00FA3D0C"/>
    <w:rsid w:val="00FA568B"/>
    <w:rsid w:val="00FA6110"/>
    <w:rsid w:val="00FC7788"/>
    <w:rsid w:val="00FD012C"/>
    <w:rsid w:val="00FD0201"/>
    <w:rsid w:val="00FD0F76"/>
    <w:rsid w:val="00FD1779"/>
    <w:rsid w:val="00FD3342"/>
    <w:rsid w:val="00FD3361"/>
    <w:rsid w:val="00FD5649"/>
    <w:rsid w:val="00FE17F0"/>
    <w:rsid w:val="00FE5FAC"/>
    <w:rsid w:val="00FF2C7A"/>
    <w:rsid w:val="00FF72DF"/>
    <w:rsid w:val="013F112A"/>
    <w:rsid w:val="01541064"/>
    <w:rsid w:val="01BF4E07"/>
    <w:rsid w:val="022A1987"/>
    <w:rsid w:val="02401775"/>
    <w:rsid w:val="024F4F38"/>
    <w:rsid w:val="027E5C43"/>
    <w:rsid w:val="028238C4"/>
    <w:rsid w:val="02992187"/>
    <w:rsid w:val="02A56098"/>
    <w:rsid w:val="02B027E6"/>
    <w:rsid w:val="02DC2393"/>
    <w:rsid w:val="02F1124A"/>
    <w:rsid w:val="03013EC6"/>
    <w:rsid w:val="030728FC"/>
    <w:rsid w:val="031A08AB"/>
    <w:rsid w:val="035277DD"/>
    <w:rsid w:val="035602A8"/>
    <w:rsid w:val="03612DF1"/>
    <w:rsid w:val="037D07EC"/>
    <w:rsid w:val="03812437"/>
    <w:rsid w:val="0382415D"/>
    <w:rsid w:val="03BF37E2"/>
    <w:rsid w:val="03C20F1F"/>
    <w:rsid w:val="03CF0F95"/>
    <w:rsid w:val="03D9355C"/>
    <w:rsid w:val="03E77EF4"/>
    <w:rsid w:val="04500139"/>
    <w:rsid w:val="04CB1855"/>
    <w:rsid w:val="051D437B"/>
    <w:rsid w:val="056A2F44"/>
    <w:rsid w:val="05CE08B1"/>
    <w:rsid w:val="05D754F4"/>
    <w:rsid w:val="06137317"/>
    <w:rsid w:val="0621036A"/>
    <w:rsid w:val="065E5F7F"/>
    <w:rsid w:val="0670360C"/>
    <w:rsid w:val="067C4E90"/>
    <w:rsid w:val="069275E1"/>
    <w:rsid w:val="06A12A56"/>
    <w:rsid w:val="06EC34E9"/>
    <w:rsid w:val="06F517F0"/>
    <w:rsid w:val="0704425F"/>
    <w:rsid w:val="071C7C62"/>
    <w:rsid w:val="072169D1"/>
    <w:rsid w:val="08586D16"/>
    <w:rsid w:val="08DB2CD5"/>
    <w:rsid w:val="090C4141"/>
    <w:rsid w:val="091B523C"/>
    <w:rsid w:val="09381A80"/>
    <w:rsid w:val="096762D6"/>
    <w:rsid w:val="0A005A35"/>
    <w:rsid w:val="0A3F657B"/>
    <w:rsid w:val="0A481F68"/>
    <w:rsid w:val="0A5E508E"/>
    <w:rsid w:val="0AB15003"/>
    <w:rsid w:val="0AC804D8"/>
    <w:rsid w:val="0B200E94"/>
    <w:rsid w:val="0B4B6FA0"/>
    <w:rsid w:val="0B7979E1"/>
    <w:rsid w:val="0B7C5D95"/>
    <w:rsid w:val="0B80309F"/>
    <w:rsid w:val="0B97042F"/>
    <w:rsid w:val="0BBE4F2B"/>
    <w:rsid w:val="0BDE32ED"/>
    <w:rsid w:val="0C2F504F"/>
    <w:rsid w:val="0CCF37E3"/>
    <w:rsid w:val="0CF2414E"/>
    <w:rsid w:val="0D452B30"/>
    <w:rsid w:val="0D4A7508"/>
    <w:rsid w:val="0D745881"/>
    <w:rsid w:val="0D851897"/>
    <w:rsid w:val="0DAD5CE9"/>
    <w:rsid w:val="0DEA502F"/>
    <w:rsid w:val="0E1516F4"/>
    <w:rsid w:val="0E53500F"/>
    <w:rsid w:val="0E5F17BF"/>
    <w:rsid w:val="0E5F6EAC"/>
    <w:rsid w:val="0EB71673"/>
    <w:rsid w:val="0F2F3348"/>
    <w:rsid w:val="0F4B45F7"/>
    <w:rsid w:val="0F543F79"/>
    <w:rsid w:val="0FB15903"/>
    <w:rsid w:val="0FE060A8"/>
    <w:rsid w:val="10D66F9B"/>
    <w:rsid w:val="11310A36"/>
    <w:rsid w:val="1196301E"/>
    <w:rsid w:val="11A14A23"/>
    <w:rsid w:val="123C2E22"/>
    <w:rsid w:val="12537258"/>
    <w:rsid w:val="12663E0A"/>
    <w:rsid w:val="12692584"/>
    <w:rsid w:val="126F740F"/>
    <w:rsid w:val="12B32BBD"/>
    <w:rsid w:val="12B423C4"/>
    <w:rsid w:val="135F592B"/>
    <w:rsid w:val="1368531C"/>
    <w:rsid w:val="13B34BAA"/>
    <w:rsid w:val="13BB5DA6"/>
    <w:rsid w:val="13DC0837"/>
    <w:rsid w:val="13E232C0"/>
    <w:rsid w:val="14045C7B"/>
    <w:rsid w:val="14087C7D"/>
    <w:rsid w:val="14143D8B"/>
    <w:rsid w:val="144540C9"/>
    <w:rsid w:val="14481FAA"/>
    <w:rsid w:val="146174DB"/>
    <w:rsid w:val="148A37E3"/>
    <w:rsid w:val="14A43CE1"/>
    <w:rsid w:val="14C1118B"/>
    <w:rsid w:val="14E019A7"/>
    <w:rsid w:val="14E60E46"/>
    <w:rsid w:val="14E94101"/>
    <w:rsid w:val="14FE36FD"/>
    <w:rsid w:val="15174001"/>
    <w:rsid w:val="156D4456"/>
    <w:rsid w:val="16362C78"/>
    <w:rsid w:val="168579CB"/>
    <w:rsid w:val="16BD43DD"/>
    <w:rsid w:val="16DA5A6D"/>
    <w:rsid w:val="17174F31"/>
    <w:rsid w:val="173919BD"/>
    <w:rsid w:val="17756394"/>
    <w:rsid w:val="17A00ACA"/>
    <w:rsid w:val="17D651A8"/>
    <w:rsid w:val="18384C32"/>
    <w:rsid w:val="1856395B"/>
    <w:rsid w:val="185D6B78"/>
    <w:rsid w:val="1905493A"/>
    <w:rsid w:val="19116C4C"/>
    <w:rsid w:val="191E4BAF"/>
    <w:rsid w:val="19350136"/>
    <w:rsid w:val="193E46C0"/>
    <w:rsid w:val="19F426A2"/>
    <w:rsid w:val="1A0D6AD1"/>
    <w:rsid w:val="1A270B23"/>
    <w:rsid w:val="1A3609FE"/>
    <w:rsid w:val="1A6C19AE"/>
    <w:rsid w:val="1ABB49D8"/>
    <w:rsid w:val="1B025470"/>
    <w:rsid w:val="1B441DEB"/>
    <w:rsid w:val="1B8B6B3B"/>
    <w:rsid w:val="1BDA60FC"/>
    <w:rsid w:val="1BE57156"/>
    <w:rsid w:val="1BEC650A"/>
    <w:rsid w:val="1C073CE1"/>
    <w:rsid w:val="1CA15EEB"/>
    <w:rsid w:val="1CDE5D4F"/>
    <w:rsid w:val="1D0704D7"/>
    <w:rsid w:val="1D8D48EF"/>
    <w:rsid w:val="1DC460EA"/>
    <w:rsid w:val="1E4D45F2"/>
    <w:rsid w:val="1F0609CB"/>
    <w:rsid w:val="1F3A24AA"/>
    <w:rsid w:val="1F3B72D9"/>
    <w:rsid w:val="1F8F2A71"/>
    <w:rsid w:val="202F56BC"/>
    <w:rsid w:val="2036128B"/>
    <w:rsid w:val="203B3F64"/>
    <w:rsid w:val="20446A81"/>
    <w:rsid w:val="20781CFD"/>
    <w:rsid w:val="20BE3894"/>
    <w:rsid w:val="20C30808"/>
    <w:rsid w:val="20C57325"/>
    <w:rsid w:val="20F44010"/>
    <w:rsid w:val="21315EC9"/>
    <w:rsid w:val="21373C88"/>
    <w:rsid w:val="2163494E"/>
    <w:rsid w:val="219B6973"/>
    <w:rsid w:val="2204756D"/>
    <w:rsid w:val="223B4B41"/>
    <w:rsid w:val="224A5AB1"/>
    <w:rsid w:val="2263269E"/>
    <w:rsid w:val="22A07C3A"/>
    <w:rsid w:val="22AE014D"/>
    <w:rsid w:val="22B342AA"/>
    <w:rsid w:val="22EB1946"/>
    <w:rsid w:val="23324E68"/>
    <w:rsid w:val="23464D85"/>
    <w:rsid w:val="239E1CF6"/>
    <w:rsid w:val="23E946FC"/>
    <w:rsid w:val="24107EDA"/>
    <w:rsid w:val="24121853"/>
    <w:rsid w:val="244C68E1"/>
    <w:rsid w:val="24566371"/>
    <w:rsid w:val="245E1A25"/>
    <w:rsid w:val="24877038"/>
    <w:rsid w:val="25125F53"/>
    <w:rsid w:val="25387E72"/>
    <w:rsid w:val="25577ED0"/>
    <w:rsid w:val="259122AC"/>
    <w:rsid w:val="25A227A8"/>
    <w:rsid w:val="25C8762A"/>
    <w:rsid w:val="26684D52"/>
    <w:rsid w:val="266F50C2"/>
    <w:rsid w:val="269A4248"/>
    <w:rsid w:val="26A92A5C"/>
    <w:rsid w:val="26BB3C15"/>
    <w:rsid w:val="270C3C8C"/>
    <w:rsid w:val="27907DF5"/>
    <w:rsid w:val="27B71E65"/>
    <w:rsid w:val="27C22331"/>
    <w:rsid w:val="27FB4723"/>
    <w:rsid w:val="28002A54"/>
    <w:rsid w:val="280B52AB"/>
    <w:rsid w:val="281D3ED7"/>
    <w:rsid w:val="28546FF1"/>
    <w:rsid w:val="285D27B3"/>
    <w:rsid w:val="286D29E1"/>
    <w:rsid w:val="28B7186C"/>
    <w:rsid w:val="28C57B8A"/>
    <w:rsid w:val="291E0523"/>
    <w:rsid w:val="2954668B"/>
    <w:rsid w:val="29664F28"/>
    <w:rsid w:val="29D36DD7"/>
    <w:rsid w:val="29EB0C7E"/>
    <w:rsid w:val="2A8A6631"/>
    <w:rsid w:val="2ACD4A0C"/>
    <w:rsid w:val="2AE53185"/>
    <w:rsid w:val="2B440741"/>
    <w:rsid w:val="2B8B6165"/>
    <w:rsid w:val="2B8F43BF"/>
    <w:rsid w:val="2BFF2352"/>
    <w:rsid w:val="2C203ACA"/>
    <w:rsid w:val="2C73418E"/>
    <w:rsid w:val="2C8A4CBD"/>
    <w:rsid w:val="2CA77337"/>
    <w:rsid w:val="2CE13B47"/>
    <w:rsid w:val="2D00520D"/>
    <w:rsid w:val="2D5847BF"/>
    <w:rsid w:val="2D91716B"/>
    <w:rsid w:val="2DD10AC0"/>
    <w:rsid w:val="2DE1186A"/>
    <w:rsid w:val="2DEB6203"/>
    <w:rsid w:val="2E0B037E"/>
    <w:rsid w:val="2E12020E"/>
    <w:rsid w:val="2EEF3774"/>
    <w:rsid w:val="2F9B57AF"/>
    <w:rsid w:val="2FE55C1B"/>
    <w:rsid w:val="2FF15986"/>
    <w:rsid w:val="306F4921"/>
    <w:rsid w:val="3126769E"/>
    <w:rsid w:val="31352622"/>
    <w:rsid w:val="31503526"/>
    <w:rsid w:val="319D46FC"/>
    <w:rsid w:val="31B922F7"/>
    <w:rsid w:val="31F91FD1"/>
    <w:rsid w:val="32002D3D"/>
    <w:rsid w:val="32107124"/>
    <w:rsid w:val="323F0C9E"/>
    <w:rsid w:val="32D42A5C"/>
    <w:rsid w:val="32DE53BE"/>
    <w:rsid w:val="32E8739E"/>
    <w:rsid w:val="332E1FAC"/>
    <w:rsid w:val="3340083E"/>
    <w:rsid w:val="334208C5"/>
    <w:rsid w:val="335419FA"/>
    <w:rsid w:val="335D4CB2"/>
    <w:rsid w:val="33E75CCA"/>
    <w:rsid w:val="33F14632"/>
    <w:rsid w:val="33FE31A6"/>
    <w:rsid w:val="34162A51"/>
    <w:rsid w:val="341A2FA9"/>
    <w:rsid w:val="342B2DD1"/>
    <w:rsid w:val="344E2C5B"/>
    <w:rsid w:val="345A39DC"/>
    <w:rsid w:val="34954273"/>
    <w:rsid w:val="349636B7"/>
    <w:rsid w:val="355E7AAD"/>
    <w:rsid w:val="358B5E16"/>
    <w:rsid w:val="361974A5"/>
    <w:rsid w:val="368D0BC4"/>
    <w:rsid w:val="36F228E4"/>
    <w:rsid w:val="37BA5855"/>
    <w:rsid w:val="37DD7DB5"/>
    <w:rsid w:val="38191F15"/>
    <w:rsid w:val="3828658F"/>
    <w:rsid w:val="382C452C"/>
    <w:rsid w:val="38751881"/>
    <w:rsid w:val="393955E2"/>
    <w:rsid w:val="393F054C"/>
    <w:rsid w:val="39CE6C84"/>
    <w:rsid w:val="3A211E80"/>
    <w:rsid w:val="3A292784"/>
    <w:rsid w:val="3A472B36"/>
    <w:rsid w:val="3A8E58C2"/>
    <w:rsid w:val="3AA730B7"/>
    <w:rsid w:val="3AA91E24"/>
    <w:rsid w:val="3AD547A6"/>
    <w:rsid w:val="3AEE09AC"/>
    <w:rsid w:val="3B0A0CCF"/>
    <w:rsid w:val="3B0D4E28"/>
    <w:rsid w:val="3B447CE3"/>
    <w:rsid w:val="3BC817D7"/>
    <w:rsid w:val="3BEA4ED6"/>
    <w:rsid w:val="3C4416C7"/>
    <w:rsid w:val="3C5B00D7"/>
    <w:rsid w:val="3CA70800"/>
    <w:rsid w:val="3CDF48D3"/>
    <w:rsid w:val="3CF64B27"/>
    <w:rsid w:val="3D086998"/>
    <w:rsid w:val="3D242598"/>
    <w:rsid w:val="3D352A2F"/>
    <w:rsid w:val="3D437C86"/>
    <w:rsid w:val="3D614BE9"/>
    <w:rsid w:val="3DA33CF8"/>
    <w:rsid w:val="3DB06E52"/>
    <w:rsid w:val="3DB45CC8"/>
    <w:rsid w:val="3E020949"/>
    <w:rsid w:val="3E1E32B8"/>
    <w:rsid w:val="3E283E77"/>
    <w:rsid w:val="3E57494A"/>
    <w:rsid w:val="3E783174"/>
    <w:rsid w:val="3EAA76B2"/>
    <w:rsid w:val="3EF151E5"/>
    <w:rsid w:val="3EFC1444"/>
    <w:rsid w:val="3F7917A8"/>
    <w:rsid w:val="3F85438F"/>
    <w:rsid w:val="3FB347AD"/>
    <w:rsid w:val="3FD873C0"/>
    <w:rsid w:val="40062050"/>
    <w:rsid w:val="40870040"/>
    <w:rsid w:val="408C3D95"/>
    <w:rsid w:val="408E5170"/>
    <w:rsid w:val="40B47BD4"/>
    <w:rsid w:val="40BE1A90"/>
    <w:rsid w:val="40E75FA9"/>
    <w:rsid w:val="412A2641"/>
    <w:rsid w:val="41426A1E"/>
    <w:rsid w:val="41782B80"/>
    <w:rsid w:val="41913657"/>
    <w:rsid w:val="41A26732"/>
    <w:rsid w:val="41D93F68"/>
    <w:rsid w:val="424F7DBE"/>
    <w:rsid w:val="42525837"/>
    <w:rsid w:val="42DE485A"/>
    <w:rsid w:val="42E02846"/>
    <w:rsid w:val="43397C3E"/>
    <w:rsid w:val="43430E5B"/>
    <w:rsid w:val="4395506D"/>
    <w:rsid w:val="43BC1C5B"/>
    <w:rsid w:val="43C12084"/>
    <w:rsid w:val="43D6459A"/>
    <w:rsid w:val="43FC690E"/>
    <w:rsid w:val="44051842"/>
    <w:rsid w:val="440D6A4F"/>
    <w:rsid w:val="443F5BBB"/>
    <w:rsid w:val="4465403F"/>
    <w:rsid w:val="44C21392"/>
    <w:rsid w:val="44FB0FAC"/>
    <w:rsid w:val="4540061E"/>
    <w:rsid w:val="45740B37"/>
    <w:rsid w:val="462409F1"/>
    <w:rsid w:val="464F6CC4"/>
    <w:rsid w:val="4650709C"/>
    <w:rsid w:val="46757D3F"/>
    <w:rsid w:val="46781FB6"/>
    <w:rsid w:val="46C415BB"/>
    <w:rsid w:val="476C65B4"/>
    <w:rsid w:val="477B4F48"/>
    <w:rsid w:val="47B70E22"/>
    <w:rsid w:val="47E7555F"/>
    <w:rsid w:val="48312377"/>
    <w:rsid w:val="483823F0"/>
    <w:rsid w:val="48920822"/>
    <w:rsid w:val="48CE03CF"/>
    <w:rsid w:val="48D27BEE"/>
    <w:rsid w:val="49272AA1"/>
    <w:rsid w:val="492A1758"/>
    <w:rsid w:val="492E569F"/>
    <w:rsid w:val="4942504E"/>
    <w:rsid w:val="49A47104"/>
    <w:rsid w:val="49B5288E"/>
    <w:rsid w:val="49C8494B"/>
    <w:rsid w:val="49D42A91"/>
    <w:rsid w:val="49D95585"/>
    <w:rsid w:val="49F7174C"/>
    <w:rsid w:val="4A1F7FB4"/>
    <w:rsid w:val="4A9D5589"/>
    <w:rsid w:val="4AAF5BC7"/>
    <w:rsid w:val="4AB769E1"/>
    <w:rsid w:val="4ADF3B1F"/>
    <w:rsid w:val="4AF82359"/>
    <w:rsid w:val="4AFF3F1B"/>
    <w:rsid w:val="4B3319C2"/>
    <w:rsid w:val="4B81009A"/>
    <w:rsid w:val="4BB13D7C"/>
    <w:rsid w:val="4BCA763E"/>
    <w:rsid w:val="4C0E27EA"/>
    <w:rsid w:val="4C8132DE"/>
    <w:rsid w:val="4CB272BC"/>
    <w:rsid w:val="4CC86E56"/>
    <w:rsid w:val="4CE23669"/>
    <w:rsid w:val="4CEE653A"/>
    <w:rsid w:val="4CF31C9F"/>
    <w:rsid w:val="4D3168F1"/>
    <w:rsid w:val="4D6273EE"/>
    <w:rsid w:val="4E0A6DE5"/>
    <w:rsid w:val="4E0E1E1D"/>
    <w:rsid w:val="4E2E4A2D"/>
    <w:rsid w:val="4E892901"/>
    <w:rsid w:val="4ED2389A"/>
    <w:rsid w:val="4ED84D74"/>
    <w:rsid w:val="4EFC30E6"/>
    <w:rsid w:val="4F18132B"/>
    <w:rsid w:val="4F793667"/>
    <w:rsid w:val="4F7F7D3E"/>
    <w:rsid w:val="4F9255D1"/>
    <w:rsid w:val="4F9B322D"/>
    <w:rsid w:val="4F9D39CF"/>
    <w:rsid w:val="4FB677D0"/>
    <w:rsid w:val="5014639A"/>
    <w:rsid w:val="5056577F"/>
    <w:rsid w:val="50B13258"/>
    <w:rsid w:val="50DA2582"/>
    <w:rsid w:val="50EE65D2"/>
    <w:rsid w:val="50F46031"/>
    <w:rsid w:val="511A5F4C"/>
    <w:rsid w:val="512319B3"/>
    <w:rsid w:val="51936A44"/>
    <w:rsid w:val="51CF5ACA"/>
    <w:rsid w:val="52781EC3"/>
    <w:rsid w:val="529C3453"/>
    <w:rsid w:val="529F6AF7"/>
    <w:rsid w:val="52AC4EC0"/>
    <w:rsid w:val="52B71A9E"/>
    <w:rsid w:val="52E02F27"/>
    <w:rsid w:val="530D226F"/>
    <w:rsid w:val="53470A6E"/>
    <w:rsid w:val="536C538B"/>
    <w:rsid w:val="53CF4230"/>
    <w:rsid w:val="53D475D4"/>
    <w:rsid w:val="541D6CC0"/>
    <w:rsid w:val="5443464B"/>
    <w:rsid w:val="54570633"/>
    <w:rsid w:val="54705C46"/>
    <w:rsid w:val="54A560B8"/>
    <w:rsid w:val="54DD308F"/>
    <w:rsid w:val="556C4B0C"/>
    <w:rsid w:val="55955BB4"/>
    <w:rsid w:val="56790A89"/>
    <w:rsid w:val="567C0EDE"/>
    <w:rsid w:val="56874563"/>
    <w:rsid w:val="569D3217"/>
    <w:rsid w:val="56BA69E6"/>
    <w:rsid w:val="574345D9"/>
    <w:rsid w:val="57741F4B"/>
    <w:rsid w:val="578F4BA3"/>
    <w:rsid w:val="57AE7514"/>
    <w:rsid w:val="57B71ABF"/>
    <w:rsid w:val="57E047C9"/>
    <w:rsid w:val="58676CB9"/>
    <w:rsid w:val="589F2D24"/>
    <w:rsid w:val="58D40387"/>
    <w:rsid w:val="58D53E92"/>
    <w:rsid w:val="58F92360"/>
    <w:rsid w:val="590E7106"/>
    <w:rsid w:val="59167DF8"/>
    <w:rsid w:val="591B5EDB"/>
    <w:rsid w:val="591C1922"/>
    <w:rsid w:val="59380FD3"/>
    <w:rsid w:val="597E4EA1"/>
    <w:rsid w:val="59B42C2A"/>
    <w:rsid w:val="59C96626"/>
    <w:rsid w:val="5A586B40"/>
    <w:rsid w:val="5AA93B8D"/>
    <w:rsid w:val="5AB14087"/>
    <w:rsid w:val="5AD261F1"/>
    <w:rsid w:val="5AE76163"/>
    <w:rsid w:val="5B3234EA"/>
    <w:rsid w:val="5B622105"/>
    <w:rsid w:val="5B773DC3"/>
    <w:rsid w:val="5B9B2F26"/>
    <w:rsid w:val="5BB55D66"/>
    <w:rsid w:val="5C1E6868"/>
    <w:rsid w:val="5C3558FF"/>
    <w:rsid w:val="5C6806E1"/>
    <w:rsid w:val="5C7266EF"/>
    <w:rsid w:val="5C8B05C2"/>
    <w:rsid w:val="5CC00EBB"/>
    <w:rsid w:val="5CEC747F"/>
    <w:rsid w:val="5D192B61"/>
    <w:rsid w:val="5D3A3A8E"/>
    <w:rsid w:val="5D630B5A"/>
    <w:rsid w:val="5D8B73E8"/>
    <w:rsid w:val="5D980C1C"/>
    <w:rsid w:val="5D995489"/>
    <w:rsid w:val="5DA42A7A"/>
    <w:rsid w:val="5DB079E6"/>
    <w:rsid w:val="5DD404E3"/>
    <w:rsid w:val="5DF003F9"/>
    <w:rsid w:val="5E131A5B"/>
    <w:rsid w:val="5E4B3BD7"/>
    <w:rsid w:val="5E74207B"/>
    <w:rsid w:val="5E9444BE"/>
    <w:rsid w:val="5EAE2A8E"/>
    <w:rsid w:val="5EBF4327"/>
    <w:rsid w:val="5F031EFE"/>
    <w:rsid w:val="5F177051"/>
    <w:rsid w:val="5F4B6CF7"/>
    <w:rsid w:val="5F4E03BF"/>
    <w:rsid w:val="5FA65D2B"/>
    <w:rsid w:val="5FB60AF1"/>
    <w:rsid w:val="5FBF39E2"/>
    <w:rsid w:val="5FF10499"/>
    <w:rsid w:val="5FFA19B8"/>
    <w:rsid w:val="600A0FCC"/>
    <w:rsid w:val="607307A7"/>
    <w:rsid w:val="60B1588E"/>
    <w:rsid w:val="60E87D54"/>
    <w:rsid w:val="60F25732"/>
    <w:rsid w:val="611430D1"/>
    <w:rsid w:val="6160329F"/>
    <w:rsid w:val="617430B6"/>
    <w:rsid w:val="619B2A7B"/>
    <w:rsid w:val="61AB599D"/>
    <w:rsid w:val="620E4923"/>
    <w:rsid w:val="6237380D"/>
    <w:rsid w:val="6240283F"/>
    <w:rsid w:val="6297737A"/>
    <w:rsid w:val="62A05B67"/>
    <w:rsid w:val="62DB5692"/>
    <w:rsid w:val="62ED43B5"/>
    <w:rsid w:val="62F23955"/>
    <w:rsid w:val="62F903B5"/>
    <w:rsid w:val="63C02B07"/>
    <w:rsid w:val="64557D2B"/>
    <w:rsid w:val="64AE2D29"/>
    <w:rsid w:val="65354C04"/>
    <w:rsid w:val="655A788A"/>
    <w:rsid w:val="65E94704"/>
    <w:rsid w:val="66505106"/>
    <w:rsid w:val="66D336B8"/>
    <w:rsid w:val="6709159B"/>
    <w:rsid w:val="671C3839"/>
    <w:rsid w:val="672C1EBA"/>
    <w:rsid w:val="673A6B86"/>
    <w:rsid w:val="674E77BF"/>
    <w:rsid w:val="677055CA"/>
    <w:rsid w:val="678E0367"/>
    <w:rsid w:val="679369A3"/>
    <w:rsid w:val="679961AA"/>
    <w:rsid w:val="67A8398D"/>
    <w:rsid w:val="67B760D2"/>
    <w:rsid w:val="682929B5"/>
    <w:rsid w:val="682F6EAD"/>
    <w:rsid w:val="68515C67"/>
    <w:rsid w:val="68BC6D6A"/>
    <w:rsid w:val="68BE3EA3"/>
    <w:rsid w:val="69180420"/>
    <w:rsid w:val="69347E1B"/>
    <w:rsid w:val="694E5040"/>
    <w:rsid w:val="695A6918"/>
    <w:rsid w:val="697D2AD1"/>
    <w:rsid w:val="6A385A84"/>
    <w:rsid w:val="6A520A5B"/>
    <w:rsid w:val="6A791D9F"/>
    <w:rsid w:val="6B3B14D1"/>
    <w:rsid w:val="6B3E17E3"/>
    <w:rsid w:val="6B4B26C9"/>
    <w:rsid w:val="6B5C07AB"/>
    <w:rsid w:val="6B6274F6"/>
    <w:rsid w:val="6B753C3E"/>
    <w:rsid w:val="6B7B2229"/>
    <w:rsid w:val="6BE1078C"/>
    <w:rsid w:val="6C28124C"/>
    <w:rsid w:val="6C642F64"/>
    <w:rsid w:val="6C8E4F6C"/>
    <w:rsid w:val="6CA36C2E"/>
    <w:rsid w:val="6CC05E92"/>
    <w:rsid w:val="6CC61D04"/>
    <w:rsid w:val="6CDC291A"/>
    <w:rsid w:val="6D5A01A8"/>
    <w:rsid w:val="6D7A3D97"/>
    <w:rsid w:val="6D8E2BC7"/>
    <w:rsid w:val="6DF878E4"/>
    <w:rsid w:val="6E630391"/>
    <w:rsid w:val="6F3460DF"/>
    <w:rsid w:val="6F922E55"/>
    <w:rsid w:val="6FAF49F7"/>
    <w:rsid w:val="707441BB"/>
    <w:rsid w:val="708414F7"/>
    <w:rsid w:val="708C1B31"/>
    <w:rsid w:val="708D0E66"/>
    <w:rsid w:val="70BA393E"/>
    <w:rsid w:val="70CC4BC0"/>
    <w:rsid w:val="70E4330E"/>
    <w:rsid w:val="70F33D7B"/>
    <w:rsid w:val="70FC7E9C"/>
    <w:rsid w:val="717F7444"/>
    <w:rsid w:val="71CC1C7C"/>
    <w:rsid w:val="71E120AB"/>
    <w:rsid w:val="71EB712A"/>
    <w:rsid w:val="72C27FA6"/>
    <w:rsid w:val="72CD1E30"/>
    <w:rsid w:val="72F27CCF"/>
    <w:rsid w:val="73032DB9"/>
    <w:rsid w:val="732037C2"/>
    <w:rsid w:val="74297C7C"/>
    <w:rsid w:val="74385DE5"/>
    <w:rsid w:val="74B41D21"/>
    <w:rsid w:val="750B4E37"/>
    <w:rsid w:val="759C7166"/>
    <w:rsid w:val="75A9470E"/>
    <w:rsid w:val="75C857C9"/>
    <w:rsid w:val="75FC0E47"/>
    <w:rsid w:val="760A6D2F"/>
    <w:rsid w:val="762429DE"/>
    <w:rsid w:val="76850285"/>
    <w:rsid w:val="76B03EE3"/>
    <w:rsid w:val="76C36E32"/>
    <w:rsid w:val="7710508A"/>
    <w:rsid w:val="77C11B4C"/>
    <w:rsid w:val="77E97F30"/>
    <w:rsid w:val="78AE5CDB"/>
    <w:rsid w:val="79C01ACA"/>
    <w:rsid w:val="79CF2250"/>
    <w:rsid w:val="79ED0498"/>
    <w:rsid w:val="7A447B06"/>
    <w:rsid w:val="7A926977"/>
    <w:rsid w:val="7AF53B5D"/>
    <w:rsid w:val="7AFA7350"/>
    <w:rsid w:val="7B12020A"/>
    <w:rsid w:val="7B1B76BB"/>
    <w:rsid w:val="7B351059"/>
    <w:rsid w:val="7BAA2E76"/>
    <w:rsid w:val="7C124499"/>
    <w:rsid w:val="7C9129FF"/>
    <w:rsid w:val="7CE71E7A"/>
    <w:rsid w:val="7D764148"/>
    <w:rsid w:val="7DDB1222"/>
    <w:rsid w:val="7DE9420B"/>
    <w:rsid w:val="7E1B5A41"/>
    <w:rsid w:val="7E4E2AA2"/>
    <w:rsid w:val="7E572472"/>
    <w:rsid w:val="7E7734EE"/>
    <w:rsid w:val="7E9A6542"/>
    <w:rsid w:val="7EAA5C42"/>
    <w:rsid w:val="7ED31908"/>
    <w:rsid w:val="7EE11E36"/>
    <w:rsid w:val="7F152581"/>
    <w:rsid w:val="7F2E6E32"/>
    <w:rsid w:val="7FA733E8"/>
    <w:rsid w:val="7FBE7F6C"/>
    <w:rsid w:val="7FED2366"/>
    <w:rsid w:val="7FFE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3"/>
    <w:qFormat/>
    <w:uiPriority w:val="0"/>
    <w:pPr>
      <w:keepNext/>
      <w:keepLines/>
      <w:spacing w:before="260" w:after="260" w:line="416" w:lineRule="auto"/>
      <w:outlineLvl w:val="2"/>
    </w:pPr>
    <w:rPr>
      <w:b/>
      <w:bCs/>
      <w:sz w:val="32"/>
      <w:szCs w:val="32"/>
    </w:rPr>
  </w:style>
  <w:style w:type="paragraph" w:styleId="6">
    <w:name w:val="heading 4"/>
    <w:basedOn w:val="1"/>
    <w:next w:val="1"/>
    <w:link w:val="69"/>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4"/>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7"/>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6">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76"/>
    <w:qFormat/>
    <w:uiPriority w:val="0"/>
    <w:pPr>
      <w:spacing w:line="300" w:lineRule="auto"/>
      <w:jc w:val="center"/>
    </w:pPr>
    <w:rPr>
      <w:b/>
      <w:bCs/>
      <w:sz w:val="44"/>
    </w:rPr>
  </w:style>
  <w:style w:type="paragraph" w:styleId="9">
    <w:name w:val="Body Text First Indent"/>
    <w:basedOn w:val="2"/>
    <w:qFormat/>
    <w:uiPriority w:val="0"/>
    <w:pPr>
      <w:spacing w:after="120" w:line="240" w:lineRule="auto"/>
      <w:ind w:firstLine="420" w:firstLineChars="100"/>
      <w:jc w:val="both"/>
    </w:pPr>
    <w:rPr>
      <w:b w:val="0"/>
      <w:bCs w:val="0"/>
      <w:sz w:val="21"/>
    </w:rPr>
  </w:style>
  <w:style w:type="paragraph" w:styleId="10">
    <w:name w:val="Normal Indent"/>
    <w:basedOn w:val="1"/>
    <w:qFormat/>
    <w:uiPriority w:val="0"/>
    <w:pPr>
      <w:ind w:firstLine="420" w:firstLineChars="200"/>
    </w:pPr>
  </w:style>
  <w:style w:type="paragraph" w:styleId="11">
    <w:name w:val="Document Map"/>
    <w:basedOn w:val="1"/>
    <w:semiHidden/>
    <w:qFormat/>
    <w:uiPriority w:val="0"/>
    <w:pPr>
      <w:shd w:val="clear" w:color="auto" w:fill="000080"/>
    </w:pPr>
  </w:style>
  <w:style w:type="paragraph" w:styleId="12">
    <w:name w:val="annotation text"/>
    <w:basedOn w:val="1"/>
    <w:link w:val="74"/>
    <w:qFormat/>
    <w:uiPriority w:val="0"/>
    <w:pPr>
      <w:jc w:val="left"/>
    </w:pPr>
  </w:style>
  <w:style w:type="paragraph" w:styleId="13">
    <w:name w:val="Body Text Indent"/>
    <w:basedOn w:val="1"/>
    <w:qFormat/>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qFormat/>
    <w:uiPriority w:val="0"/>
    <w:pPr>
      <w:ind w:left="840" w:leftChars="400"/>
    </w:pPr>
  </w:style>
  <w:style w:type="paragraph" w:styleId="15">
    <w:name w:val="Plain Text"/>
    <w:basedOn w:val="1"/>
    <w:link w:val="66"/>
    <w:qFormat/>
    <w:uiPriority w:val="0"/>
    <w:rPr>
      <w:rFonts w:ascii="宋体" w:hAnsi="Courier New"/>
      <w:szCs w:val="20"/>
    </w:rPr>
  </w:style>
  <w:style w:type="paragraph" w:styleId="16">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62"/>
    <w:semiHidden/>
    <w:qFormat/>
    <w:uiPriority w:val="99"/>
    <w:rPr>
      <w:sz w:val="18"/>
      <w:szCs w:val="18"/>
    </w:rPr>
  </w:style>
  <w:style w:type="paragraph" w:styleId="19">
    <w:name w:val="footer"/>
    <w:basedOn w:val="1"/>
    <w:link w:val="71"/>
    <w:qFormat/>
    <w:uiPriority w:val="99"/>
    <w:pPr>
      <w:widowControl/>
      <w:tabs>
        <w:tab w:val="center" w:pos="4153"/>
        <w:tab w:val="right" w:pos="8306"/>
      </w:tabs>
      <w:snapToGrid w:val="0"/>
      <w:jc w:val="left"/>
    </w:pPr>
    <w:rPr>
      <w:rFonts w:ascii="宋体" w:hAnsi="宋体"/>
      <w:kern w:val="0"/>
      <w:sz w:val="18"/>
      <w:szCs w:val="18"/>
    </w:rPr>
  </w:style>
  <w:style w:type="paragraph" w:styleId="20">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style>
  <w:style w:type="paragraph" w:styleId="22">
    <w:name w:val="toc 2"/>
    <w:basedOn w:val="1"/>
    <w:next w:val="1"/>
    <w:semiHidden/>
    <w:qFormat/>
    <w:uiPriority w:val="0"/>
    <w:pPr>
      <w:ind w:left="420" w:leftChars="200"/>
    </w:pPr>
  </w:style>
  <w:style w:type="paragraph" w:styleId="23">
    <w:name w:val="Body Text 2"/>
    <w:basedOn w:val="1"/>
    <w:link w:val="72"/>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99"/>
    <w:rPr>
      <w:color w:val="800080"/>
      <w:u w:val="none"/>
    </w:rPr>
  </w:style>
  <w:style w:type="character" w:styleId="30">
    <w:name w:val="Emphasis"/>
    <w:qFormat/>
    <w:uiPriority w:val="0"/>
    <w:rPr>
      <w:i/>
    </w:rPr>
  </w:style>
  <w:style w:type="character" w:styleId="31">
    <w:name w:val="Hyperlink"/>
    <w:qFormat/>
    <w:uiPriority w:val="99"/>
    <w:rPr>
      <w:color w:val="0000FF"/>
      <w:u w:val="none"/>
    </w:rPr>
  </w:style>
  <w:style w:type="character" w:styleId="32">
    <w:name w:val="annotation reference"/>
    <w:basedOn w:val="26"/>
    <w:qFormat/>
    <w:uiPriority w:val="0"/>
    <w:rPr>
      <w:sz w:val="21"/>
      <w:szCs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5">
    <w:name w:val="Char Char Char"/>
    <w:basedOn w:val="1"/>
    <w:qFormat/>
    <w:uiPriority w:val="0"/>
    <w:rPr>
      <w:rFonts w:ascii="Tahoma" w:hAnsi="Tahoma"/>
      <w:sz w:val="24"/>
      <w:szCs w:val="20"/>
    </w:rPr>
  </w:style>
  <w:style w:type="paragraph" w:customStyle="1" w:styleId="36">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环小四1.1(三级)"/>
    <w:basedOn w:val="38"/>
    <w:qFormat/>
    <w:uiPriority w:val="99"/>
  </w:style>
  <w:style w:type="paragraph" w:customStyle="1" w:styleId="38">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39">
    <w:name w:val="Char Char Char Char Char Char Char1 Char Char Char Char Char Char Char"/>
    <w:basedOn w:val="1"/>
    <w:qFormat/>
    <w:uiPriority w:val="0"/>
    <w:rPr>
      <w:rFonts w:ascii="Tahoma" w:hAnsi="Tahoma"/>
      <w:sz w:val="24"/>
      <w:szCs w:val="20"/>
    </w:rPr>
  </w:style>
  <w:style w:type="paragraph" w:customStyle="1" w:styleId="40">
    <w:name w:val="正文部分1"/>
    <w:basedOn w:val="1"/>
    <w:qFormat/>
    <w:uiPriority w:val="99"/>
    <w:pPr>
      <w:ind w:firstLine="200" w:firstLineChars="200"/>
    </w:pPr>
    <w:rPr>
      <w:rFonts w:ascii="宋体" w:hAnsi="宋体"/>
      <w:color w:val="000000"/>
      <w:sz w:val="24"/>
    </w:rPr>
  </w:style>
  <w:style w:type="paragraph" w:customStyle="1" w:styleId="4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2">
    <w:name w:val="_Style 40"/>
    <w:basedOn w:val="1"/>
    <w:next w:val="1"/>
    <w:qFormat/>
    <w:uiPriority w:val="0"/>
    <w:pPr>
      <w:pBdr>
        <w:bottom w:val="single" w:color="auto" w:sz="6" w:space="1"/>
      </w:pBdr>
      <w:jc w:val="center"/>
    </w:pPr>
    <w:rPr>
      <w:rFonts w:ascii="Arial"/>
      <w:vanish/>
      <w:sz w:val="16"/>
    </w:rPr>
  </w:style>
  <w:style w:type="paragraph" w:customStyle="1" w:styleId="43">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44">
    <w:name w:val="环小四内容"/>
    <w:basedOn w:val="1"/>
    <w:qFormat/>
    <w:uiPriority w:val="99"/>
    <w:pPr>
      <w:ind w:firstLine="200" w:firstLineChars="200"/>
    </w:pPr>
    <w:rPr>
      <w:rFonts w:hAnsi="宋体"/>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absatz1"/>
    <w:basedOn w:val="1"/>
    <w:qFormat/>
    <w:uiPriority w:val="0"/>
    <w:pPr>
      <w:widowControl/>
      <w:tabs>
        <w:tab w:val="left" w:pos="709"/>
      </w:tabs>
      <w:ind w:left="709" w:hanging="709"/>
    </w:pPr>
    <w:rPr>
      <w:kern w:val="0"/>
      <w:sz w:val="24"/>
      <w:szCs w:val="20"/>
    </w:rPr>
  </w:style>
  <w:style w:type="paragraph" w:customStyle="1" w:styleId="47">
    <w:name w:val="样式2"/>
    <w:basedOn w:val="1"/>
    <w:link w:val="65"/>
    <w:qFormat/>
    <w:uiPriority w:val="0"/>
    <w:pPr>
      <w:spacing w:line="600" w:lineRule="exact"/>
    </w:pPr>
    <w:rPr>
      <w:rFonts w:ascii="仿宋_GB2312" w:hAnsi="宋体" w:eastAsia="仿宋_GB2312"/>
      <w:b/>
      <w:sz w:val="32"/>
      <w:szCs w:val="32"/>
    </w:rPr>
  </w:style>
  <w:style w:type="paragraph" w:customStyle="1" w:styleId="48">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1">
    <w:name w:val="Normal_0"/>
    <w:qFormat/>
    <w:uiPriority w:val="0"/>
    <w:rPr>
      <w:rFonts w:ascii="Times New Roman" w:hAnsi="Times New Roman" w:eastAsia="Times New Roman" w:cs="Times New Roman"/>
      <w:sz w:val="24"/>
      <w:szCs w:val="24"/>
      <w:lang w:val="en-US" w:eastAsia="zh-CN" w:bidi="ar-SA"/>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默认段落字体 Para Char Char Char Char Char Char Char Char Char1 Char Char Char Char Char Char Char Char"/>
    <w:basedOn w:val="11"/>
    <w:qFormat/>
    <w:uiPriority w:val="0"/>
  </w:style>
  <w:style w:type="paragraph" w:customStyle="1" w:styleId="54">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55">
    <w:name w:val="_Style 53"/>
    <w:basedOn w:val="1"/>
    <w:next w:val="1"/>
    <w:qFormat/>
    <w:uiPriority w:val="0"/>
    <w:pPr>
      <w:pBdr>
        <w:top w:val="single" w:color="auto" w:sz="6" w:space="1"/>
      </w:pBdr>
      <w:jc w:val="center"/>
    </w:pPr>
    <w:rPr>
      <w:rFonts w:ascii="Arial"/>
      <w:vanish/>
      <w:sz w:val="16"/>
    </w:rPr>
  </w:style>
  <w:style w:type="paragraph" w:customStyle="1" w:styleId="56">
    <w:name w:val="环小四表内容"/>
    <w:basedOn w:val="1"/>
    <w:qFormat/>
    <w:uiPriority w:val="99"/>
    <w:pPr>
      <w:wordWrap w:val="0"/>
      <w:spacing w:line="240" w:lineRule="exact"/>
      <w:jc w:val="center"/>
    </w:pPr>
    <w:rPr>
      <w:rFonts w:hAnsi="宋体"/>
      <w:sz w:val="18"/>
      <w:szCs w:val="21"/>
    </w:rPr>
  </w:style>
  <w:style w:type="paragraph" w:customStyle="1" w:styleId="57">
    <w:name w:val="Char"/>
    <w:basedOn w:val="1"/>
    <w:qFormat/>
    <w:uiPriority w:val="0"/>
    <w:rPr>
      <w:rFonts w:ascii="Tahoma" w:hAnsi="Tahoma"/>
      <w:sz w:val="24"/>
      <w:szCs w:val="20"/>
    </w:rPr>
  </w:style>
  <w:style w:type="paragraph" w:customStyle="1" w:styleId="58">
    <w:name w:val="Char Char Char Char Char Char Char1 Char"/>
    <w:basedOn w:val="1"/>
    <w:qFormat/>
    <w:uiPriority w:val="0"/>
    <w:rPr>
      <w:rFonts w:ascii="Tahoma" w:hAnsi="Tahoma"/>
      <w:sz w:val="24"/>
      <w:szCs w:val="20"/>
    </w:rPr>
  </w:style>
  <w:style w:type="paragraph" w:customStyle="1" w:styleId="5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62">
    <w:name w:val="批注框文本 Char"/>
    <w:link w:val="18"/>
    <w:semiHidden/>
    <w:qFormat/>
    <w:uiPriority w:val="99"/>
    <w:rPr>
      <w:kern w:val="2"/>
      <w:sz w:val="18"/>
      <w:szCs w:val="18"/>
    </w:rPr>
  </w:style>
  <w:style w:type="character" w:customStyle="1" w:styleId="63">
    <w:name w:val="标题 1 Char"/>
    <w:link w:val="3"/>
    <w:qFormat/>
    <w:uiPriority w:val="9"/>
    <w:rPr>
      <w:b/>
      <w:bCs/>
      <w:kern w:val="44"/>
      <w:sz w:val="44"/>
      <w:szCs w:val="44"/>
    </w:rPr>
  </w:style>
  <w:style w:type="character" w:customStyle="1" w:styleId="64">
    <w:name w:val="标题 5 Char"/>
    <w:link w:val="7"/>
    <w:qFormat/>
    <w:uiPriority w:val="9"/>
    <w:rPr>
      <w:rFonts w:ascii="宋体" w:hAnsi="宋体" w:cs="宋体"/>
      <w:b/>
      <w:bCs/>
    </w:rPr>
  </w:style>
  <w:style w:type="character" w:customStyle="1" w:styleId="65">
    <w:name w:val="样式2 Char Char"/>
    <w:link w:val="47"/>
    <w:qFormat/>
    <w:uiPriority w:val="0"/>
    <w:rPr>
      <w:rFonts w:ascii="仿宋_GB2312" w:hAnsi="宋体" w:eastAsia="仿宋_GB2312"/>
      <w:b/>
      <w:kern w:val="2"/>
      <w:sz w:val="32"/>
      <w:szCs w:val="32"/>
      <w:lang w:val="en-US" w:eastAsia="zh-CN" w:bidi="ar-SA"/>
    </w:rPr>
  </w:style>
  <w:style w:type="character" w:customStyle="1" w:styleId="66">
    <w:name w:val="纯文本 Char"/>
    <w:link w:val="15"/>
    <w:qFormat/>
    <w:uiPriority w:val="0"/>
    <w:rPr>
      <w:rFonts w:ascii="宋体" w:hAnsi="Courier New"/>
      <w:kern w:val="2"/>
      <w:sz w:val="21"/>
    </w:rPr>
  </w:style>
  <w:style w:type="character" w:customStyle="1" w:styleId="67">
    <w:name w:val="标题 6 Char"/>
    <w:link w:val="8"/>
    <w:qFormat/>
    <w:uiPriority w:val="9"/>
    <w:rPr>
      <w:rFonts w:ascii="宋体" w:hAnsi="宋体" w:cs="宋体"/>
      <w:b/>
      <w:bCs/>
      <w:sz w:val="15"/>
      <w:szCs w:val="15"/>
    </w:rPr>
  </w:style>
  <w:style w:type="character" w:customStyle="1" w:styleId="68">
    <w:name w:val="标题 2 Char"/>
    <w:link w:val="4"/>
    <w:qFormat/>
    <w:uiPriority w:val="9"/>
    <w:rPr>
      <w:rFonts w:ascii="Arial" w:hAnsi="Arial" w:eastAsia="黑体"/>
      <w:b/>
      <w:bCs/>
      <w:kern w:val="2"/>
      <w:sz w:val="32"/>
      <w:szCs w:val="32"/>
      <w:lang w:val="en-US" w:eastAsia="zh-CN" w:bidi="ar-SA"/>
    </w:rPr>
  </w:style>
  <w:style w:type="character" w:customStyle="1" w:styleId="69">
    <w:name w:val="标题 4 Char"/>
    <w:link w:val="6"/>
    <w:qFormat/>
    <w:uiPriority w:val="9"/>
    <w:rPr>
      <w:rFonts w:ascii="宋体" w:hAnsi="宋体" w:cs="宋体"/>
      <w:b/>
      <w:bCs/>
      <w:sz w:val="24"/>
      <w:szCs w:val="24"/>
    </w:rPr>
  </w:style>
  <w:style w:type="character" w:customStyle="1" w:styleId="70">
    <w:name w:val="页眉 Char"/>
    <w:link w:val="20"/>
    <w:qFormat/>
    <w:uiPriority w:val="0"/>
    <w:rPr>
      <w:rFonts w:eastAsia="宋体"/>
      <w:kern w:val="2"/>
      <w:sz w:val="18"/>
      <w:szCs w:val="18"/>
      <w:lang w:val="en-US" w:eastAsia="zh-CN" w:bidi="ar-SA"/>
    </w:rPr>
  </w:style>
  <w:style w:type="character" w:customStyle="1" w:styleId="71">
    <w:name w:val="页脚 Char"/>
    <w:link w:val="19"/>
    <w:qFormat/>
    <w:uiPriority w:val="99"/>
    <w:rPr>
      <w:rFonts w:ascii="宋体" w:hAnsi="宋体"/>
      <w:sz w:val="18"/>
      <w:szCs w:val="18"/>
    </w:rPr>
  </w:style>
  <w:style w:type="character" w:customStyle="1" w:styleId="72">
    <w:name w:val="正文文本 2 Char"/>
    <w:link w:val="23"/>
    <w:qFormat/>
    <w:locked/>
    <w:uiPriority w:val="99"/>
    <w:rPr>
      <w:rFonts w:ascii="宋体" w:hAnsi="宋体"/>
      <w:kern w:val="0"/>
      <w:sz w:val="20"/>
      <w:szCs w:val="21"/>
    </w:rPr>
  </w:style>
  <w:style w:type="character" w:customStyle="1" w:styleId="73">
    <w:name w:val="标题 3 Char"/>
    <w:link w:val="5"/>
    <w:qFormat/>
    <w:uiPriority w:val="0"/>
    <w:rPr>
      <w:b/>
      <w:bCs/>
      <w:kern w:val="2"/>
      <w:sz w:val="32"/>
      <w:szCs w:val="32"/>
    </w:rPr>
  </w:style>
  <w:style w:type="character" w:customStyle="1" w:styleId="74">
    <w:name w:val="批注文字 Char"/>
    <w:link w:val="12"/>
    <w:qFormat/>
    <w:locked/>
    <w:uiPriority w:val="0"/>
    <w:rPr>
      <w:kern w:val="2"/>
      <w:sz w:val="21"/>
      <w:szCs w:val="24"/>
    </w:rPr>
  </w:style>
  <w:style w:type="character" w:customStyle="1" w:styleId="75">
    <w:name w:val="正文文本 Char1"/>
    <w:basedOn w:val="26"/>
    <w:qFormat/>
    <w:uiPriority w:val="0"/>
    <w:rPr>
      <w:rFonts w:hint="default" w:ascii="Calibri" w:hAnsi="Calibri" w:cs="Calibri"/>
      <w:kern w:val="2"/>
      <w:sz w:val="21"/>
      <w:szCs w:val="21"/>
    </w:rPr>
  </w:style>
  <w:style w:type="character" w:customStyle="1" w:styleId="76">
    <w:name w:val="正文文本 Char"/>
    <w:basedOn w:val="26"/>
    <w:link w:val="2"/>
    <w:qFormat/>
    <w:uiPriority w:val="0"/>
    <w:rPr>
      <w:rFonts w:hint="eastAsia" w:ascii="宋体" w:hAnsi="宋体" w:eastAsia="宋体" w:cs="宋体"/>
      <w:sz w:val="24"/>
      <w:szCs w:val="24"/>
      <w:lang w:val="en-US" w:eastAsia="en-US"/>
    </w:rPr>
  </w:style>
  <w:style w:type="table" w:customStyle="1" w:styleId="77">
    <w:name w:val="Table Normal"/>
    <w:unhideWhenUsed/>
    <w:qFormat/>
    <w:uiPriority w:val="0"/>
    <w:tblPr>
      <w:tblLayout w:type="fixed"/>
      <w:tblCellMar>
        <w:top w:w="0" w:type="dxa"/>
        <w:left w:w="0" w:type="dxa"/>
        <w:bottom w:w="0" w:type="dxa"/>
        <w:right w:w="0" w:type="dxa"/>
      </w:tblCellMar>
    </w:tblPr>
  </w:style>
  <w:style w:type="paragraph" w:customStyle="1" w:styleId="78">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69E7B-9639-410C-96DB-7FE9A9D2C189}">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26</Pages>
  <Words>1663</Words>
  <Characters>9480</Characters>
  <Lines>79</Lines>
  <Paragraphs>22</Paragraphs>
  <TotalTime>9</TotalTime>
  <ScaleCrop>false</ScaleCrop>
  <LinksUpToDate>false</LinksUpToDate>
  <CharactersWithSpaces>11121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2024-11-06T08:35:00Z</dcterms:created>
  <dc:creator>fwt01</dc:creator>
  <cp:lastModifiedBy>朱虹</cp:lastModifiedBy>
  <cp:lastPrinted>2024-01-30T02:07:00Z</cp:lastPrinted>
  <dcterms:modified xsi:type="dcterms:W3CDTF">2024-11-18T02:56:15Z</dcterms:modified>
  <dc:title>单一来源采购邀请函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FE8065BE096F43509218976F283727DB</vt:lpwstr>
  </property>
</Properties>
</file>