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s="宋体"/>
          <w:color w:val="000000"/>
          <w:sz w:val="32"/>
          <w:szCs w:val="28"/>
          <w:highlight w:val="none"/>
          <w:lang w:eastAsia="zh-CN"/>
        </w:rPr>
      </w:pPr>
      <w:r>
        <w:rPr>
          <w:rFonts w:hint="eastAsia" w:ascii="宋体" w:hAnsi="宋体" w:eastAsia="宋体" w:cs="宋体"/>
          <w:color w:val="000000"/>
          <w:sz w:val="32"/>
          <w:szCs w:val="28"/>
          <w:highlight w:val="none"/>
          <w:lang w:eastAsia="zh-CN"/>
        </w:rPr>
        <w:t>文件编号：</w:t>
      </w:r>
      <w:r>
        <w:rPr>
          <w:rFonts w:hint="eastAsia" w:ascii="宋体" w:hAnsi="宋体" w:eastAsia="宋体" w:cs="宋体"/>
          <w:color w:val="000000"/>
          <w:sz w:val="32"/>
          <w:szCs w:val="28"/>
          <w:highlight w:val="none"/>
          <w:lang w:val="en-US" w:eastAsia="zh-CN"/>
        </w:rPr>
        <w:t>SACSC-TP-S-2025006</w:t>
      </w: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s="宋体"/>
          <w:color w:val="000000"/>
          <w:sz w:val="32"/>
          <w:szCs w:val="28"/>
          <w:highlight w:val="none"/>
        </w:rPr>
      </w:pPr>
      <w:r>
        <w:rPr>
          <w:rFonts w:hint="eastAsia" w:ascii="宋体" w:hAnsi="宋体" w:eastAsia="宋体" w:cs="宋体"/>
          <w:color w:val="000000"/>
          <w:sz w:val="32"/>
          <w:szCs w:val="28"/>
          <w:highlight w:val="none"/>
        </w:rPr>
        <w:t>项目名称：GSE库房租赁</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2025</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3</w:t>
      </w:r>
      <w:r>
        <w:rPr>
          <w:rFonts w:hint="eastAsia" w:ascii="宋体" w:hAnsi="宋体"/>
          <w:color w:val="000000"/>
          <w:sz w:val="32"/>
          <w:szCs w:val="28"/>
          <w:highlight w:val="none"/>
        </w:rPr>
        <w:t>月</w:t>
      </w:r>
      <w:r>
        <w:rPr>
          <w:rFonts w:hint="eastAsia" w:ascii="宋体" w:hAnsi="宋体"/>
          <w:color w:val="000000"/>
          <w:sz w:val="32"/>
          <w:szCs w:val="28"/>
          <w:highlight w:val="none"/>
          <w:lang w:val="en-US" w:eastAsia="zh-CN"/>
        </w:rPr>
        <w:t>11</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r>
        <w:rPr>
          <w:rFonts w:hint="eastAsia"/>
          <w:b w:val="0"/>
          <w:bCs w:val="0"/>
          <w:sz w:val="24"/>
          <w:highlight w:val="none"/>
          <w:lang w:val="en-US" w:eastAsia="zh-CN"/>
        </w:rPr>
        <w:t>3</w:t>
      </w:r>
      <w:r>
        <w:rPr>
          <w:rFonts w:eastAsia="宋体"/>
          <w:b w:val="0"/>
          <w:bCs w:val="0"/>
          <w:sz w:val="24"/>
          <w:highlight w:val="none"/>
        </w:rPr>
        <w:fldChar w:fldCharType="end"/>
      </w: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r>
        <w:rPr>
          <w:rFonts w:hint="eastAsia"/>
          <w:b w:val="0"/>
          <w:bCs w:val="0"/>
          <w:sz w:val="24"/>
          <w:highlight w:val="none"/>
          <w:lang w:val="en-US" w:eastAsia="zh-CN"/>
        </w:rPr>
        <w:t>6</w:t>
      </w:r>
      <w:r>
        <w:rPr>
          <w:rFonts w:eastAsia="宋体"/>
          <w:b w:val="0"/>
          <w:bCs w:val="0"/>
          <w:sz w:val="24"/>
          <w:highlight w:val="none"/>
        </w:rPr>
        <w:fldChar w:fldCharType="end"/>
      </w: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r>
        <w:rPr>
          <w:rFonts w:hint="eastAsia"/>
          <w:b w:val="0"/>
          <w:bCs w:val="0"/>
          <w:sz w:val="24"/>
          <w:highlight w:val="none"/>
          <w:lang w:val="en-US" w:eastAsia="zh-CN"/>
        </w:rPr>
        <w:t>8</w:t>
      </w:r>
      <w:r>
        <w:rPr>
          <w:rFonts w:eastAsia="宋体"/>
          <w:b w:val="0"/>
          <w:bCs w:val="0"/>
          <w:sz w:val="24"/>
          <w:highlight w:val="none"/>
        </w:rPr>
        <w:fldChar w:fldCharType="end"/>
      </w: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b w:val="0"/>
          <w:bCs w:val="0"/>
          <w:sz w:val="24"/>
          <w:highlight w:val="none"/>
          <w:lang w:val="en-US" w:eastAsia="zh-CN"/>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r>
        <w:rPr>
          <w:rFonts w:hint="eastAsia"/>
          <w:b w:val="0"/>
          <w:bCs w:val="0"/>
          <w:sz w:val="24"/>
          <w:highlight w:val="none"/>
          <w:lang w:val="en-US" w:eastAsia="zh-CN"/>
        </w:rPr>
        <w:t>1</w:t>
      </w:r>
      <w:r>
        <w:rPr>
          <w:rFonts w:eastAsia="宋体"/>
          <w:b w:val="0"/>
          <w:bCs w:val="0"/>
          <w:sz w:val="24"/>
          <w:highlight w:val="none"/>
        </w:rPr>
        <w:fldChar w:fldCharType="end"/>
      </w:r>
      <w:r>
        <w:rPr>
          <w:rFonts w:hint="eastAsia"/>
          <w:b w:val="0"/>
          <w:bCs w:val="0"/>
          <w:sz w:val="24"/>
          <w:highlight w:val="none"/>
          <w:lang w:val="en-US" w:eastAsia="zh-CN"/>
        </w:rPr>
        <w:t>1</w:t>
      </w: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2" w:name="_Toc28157_WPSOffice_Level1Page"/>
      <w:r>
        <w:rPr>
          <w:rFonts w:eastAsia="宋体"/>
          <w:b w:val="0"/>
          <w:bCs w:val="0"/>
          <w:sz w:val="24"/>
          <w:highlight w:val="none"/>
        </w:rPr>
        <w:t>15</w:t>
      </w:r>
      <w:bookmarkEnd w:id="2"/>
      <w:r>
        <w:rPr>
          <w:rFonts w:eastAsia="宋体"/>
          <w:b w:val="0"/>
          <w:bCs w:val="0"/>
          <w:sz w:val="24"/>
          <w:highlight w:val="none"/>
        </w:rPr>
        <w:fldChar w:fldCharType="end"/>
      </w: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3" w:name="_Toc7733_WPSOffice_Level1Page"/>
      <w:r>
        <w:rPr>
          <w:rFonts w:eastAsia="宋体"/>
          <w:b w:val="0"/>
          <w:bCs w:val="0"/>
          <w:sz w:val="24"/>
          <w:highlight w:val="none"/>
        </w:rPr>
        <w:t>16</w:t>
      </w:r>
      <w:bookmarkEnd w:id="3"/>
      <w:r>
        <w:rPr>
          <w:rFonts w:eastAsia="宋体"/>
          <w:b w:val="0"/>
          <w:bCs w:val="0"/>
          <w:sz w:val="24"/>
          <w:highlight w:val="none"/>
        </w:rPr>
        <w:fldChar w:fldCharType="end"/>
      </w:r>
      <w:bookmarkEnd w:id="1"/>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2"/>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footerReference r:id="rId3" w:type="default"/>
          <w:type w:val="continuous"/>
          <w:pgSz w:w="11906" w:h="16838"/>
          <w:pgMar w:top="1803" w:right="1440" w:bottom="1803" w:left="1440" w:header="851" w:footer="992" w:gutter="0"/>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4" w:name="_Toc10946_WPSOffice_Level1"/>
      <w:bookmarkStart w:id="5" w:name="_Hlk13586256"/>
      <w:bookmarkStart w:id="6"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4"/>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上海飞机客户服务有限公司（下简称“客服公司”或“采购方”）诚邀贵单位参加</w:t>
      </w:r>
      <w:r>
        <w:rPr>
          <w:rFonts w:hint="eastAsia" w:ascii="宋体" w:hAnsi="宋体"/>
          <w:sz w:val="28"/>
          <w:szCs w:val="28"/>
          <w:highlight w:val="none"/>
          <w:u w:val="single"/>
          <w:lang w:val="en-US" w:eastAsia="zh-CN"/>
        </w:rPr>
        <w:t>GSE库房租赁</w:t>
      </w:r>
      <w:r>
        <w:rPr>
          <w:rFonts w:hint="eastAsia" w:ascii="宋体" w:hAnsi="宋体"/>
          <w:sz w:val="28"/>
          <w:szCs w:val="28"/>
          <w:highlight w:val="none"/>
          <w:lang w:eastAsia="zh-CN"/>
        </w:rPr>
        <w:t>项目的采购，项目具体情况如下：</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1.</w:t>
            </w:r>
            <w:r>
              <w:rPr>
                <w:rFonts w:hint="eastAsia" w:ascii="宋体" w:hAnsi="宋体"/>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服务名称</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GSE库房租赁</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服务概况</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default" w:ascii="宋体" w:hAnsi="宋体" w:eastAsia="宋体"/>
                <w:sz w:val="24"/>
                <w:highlight w:val="none"/>
                <w:vertAlign w:val="baseline"/>
                <w:lang w:val="en-US" w:eastAsia="zh-CN"/>
              </w:rPr>
            </w:pPr>
            <w:r>
              <w:rPr>
                <w:rFonts w:hint="eastAsia"/>
                <w:lang w:val="en-US" w:eastAsia="zh-CN"/>
              </w:rPr>
              <w:t>须供应商提供距离上海飞机客户服务有限公司直线距离约15公里的可租赁面积为2000-2500平方米的用于存放客服公司GSE设备的库房。</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服务期限</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仿宋"/>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月前</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☑其他</w:t>
            </w:r>
            <w:r>
              <w:rPr>
                <w:rFonts w:hint="eastAsia" w:ascii="宋体" w:hAnsi="宋体"/>
                <w:sz w:val="24"/>
                <w:highlight w:val="none"/>
                <w:lang w:val="en-US" w:eastAsia="zh-CN"/>
              </w:rPr>
              <w:t>:</w:t>
            </w:r>
            <w:r>
              <w:rPr>
                <w:rFonts w:hint="eastAsia" w:ascii="宋体" w:hAnsi="宋体"/>
                <w:sz w:val="24"/>
                <w:highlight w:val="none"/>
                <w:u w:val="single"/>
                <w:lang w:val="en-US" w:eastAsia="zh-CN"/>
              </w:rPr>
              <w:t>合同签订并完成验收之日起两年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224" w:leftChars="104" w:hanging="6" w:firstLineChars="0"/>
              <w:jc w:val="center"/>
              <w:textAlignment w:val="auto"/>
              <w:outlineLvl w:val="9"/>
              <w:rPr>
                <w:rFonts w:hint="eastAsia" w:ascii="宋体" w:hAnsi="宋体" w:eastAsia="宋体"/>
                <w:b/>
                <w:bCs/>
                <w:sz w:val="24"/>
                <w:highlight w:val="none"/>
                <w:lang w:eastAsia="zh-CN"/>
              </w:rPr>
            </w:pPr>
            <w:r>
              <w:rPr>
                <w:rFonts w:hint="eastAsia" w:ascii="宋体" w:hAnsi="宋体"/>
                <w:b/>
                <w:bCs/>
                <w:sz w:val="24"/>
                <w:highlight w:val="none"/>
                <w:lang w:val="en-US" w:eastAsia="zh-CN"/>
              </w:rPr>
              <w:t>2.</w:t>
            </w:r>
            <w:r>
              <w:rPr>
                <w:rFonts w:hint="eastAsia" w:ascii="宋体" w:hAnsi="宋体"/>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rPr>
                <w:rFonts w:hint="eastAsia" w:ascii="宋体" w:hAnsi="宋体"/>
                <w:sz w:val="24"/>
                <w:highlight w:val="none"/>
                <w:lang w:val="en-US"/>
              </w:rPr>
            </w:pPr>
            <w:r>
              <w:rPr>
                <w:rFonts w:hint="eastAsia" w:ascii="宋体" w:hAnsi="宋体"/>
                <w:sz w:val="24"/>
                <w:highlight w:val="none"/>
                <w:lang w:eastAsia="zh-CN"/>
              </w:rPr>
              <w:t>□</w:t>
            </w:r>
            <w:r>
              <w:rPr>
                <w:rFonts w:hint="eastAsia" w:ascii="宋体" w:hAnsi="宋体"/>
                <w:sz w:val="24"/>
                <w:highlight w:val="none"/>
              </w:rPr>
              <w:t xml:space="preserve">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询问联系方式</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 xml:space="preserve">联系人：  </w:t>
            </w:r>
            <w:r>
              <w:rPr>
                <w:rFonts w:hint="eastAsia" w:ascii="宋体" w:hAnsi="宋体" w:cs="Times New Roman"/>
                <w:sz w:val="24"/>
                <w:highlight w:val="none"/>
                <w:u w:val="single"/>
                <w:lang w:val="en-US" w:eastAsia="zh-CN"/>
              </w:rPr>
              <w:t>孔万里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val="en-US" w:eastAsia="zh-CN"/>
              </w:rPr>
              <w:t>联系电话：</w:t>
            </w:r>
            <w:r>
              <w:rPr>
                <w:rFonts w:hint="eastAsia" w:ascii="宋体" w:hAnsi="宋体" w:cs="Times New Roman"/>
                <w:sz w:val="24"/>
                <w:highlight w:val="none"/>
                <w:u w:val="single"/>
                <w:lang w:val="en-US" w:eastAsia="zh-CN"/>
              </w:rPr>
              <w:t>18019196725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联系地址：</w:t>
            </w:r>
            <w:r>
              <w:rPr>
                <w:rFonts w:hint="eastAsia" w:ascii="宋体" w:hAnsi="宋体" w:cs="Times New Roman"/>
                <w:sz w:val="24"/>
                <w:highlight w:val="none"/>
                <w:u w:val="single"/>
                <w:lang w:val="en-US" w:eastAsia="zh-CN"/>
              </w:rPr>
              <w:t>上海闵行江川东路100号</w:t>
            </w:r>
          </w:p>
          <w:p>
            <w:pPr>
              <w:autoSpaceDE w:val="0"/>
              <w:autoSpaceDN w:val="0"/>
              <w:adjustRightInd w:val="0"/>
              <w:ind w:left="224" w:leftChars="104" w:hanging="6" w:firstLineChars="0"/>
              <w:jc w:val="left"/>
              <w:rPr>
                <w:rFonts w:hint="eastAsia" w:ascii="宋体" w:hAnsi="宋体"/>
                <w:sz w:val="24"/>
                <w:highlight w:val="none"/>
                <w:lang w:val="en-US" w:eastAsia="zh-CN"/>
              </w:rPr>
            </w:pPr>
            <w:r>
              <w:rPr>
                <w:rFonts w:hint="eastAsia" w:ascii="宋体" w:hAnsi="宋体" w:cs="Times New Roman"/>
                <w:sz w:val="24"/>
                <w:highlight w:val="none"/>
                <w:lang w:val="en-US" w:eastAsia="zh-CN"/>
              </w:rPr>
              <w:t>联系邮箱：</w:t>
            </w:r>
            <w:r>
              <w:rPr>
                <w:rFonts w:hint="eastAsia" w:ascii="宋体" w:hAnsi="宋体" w:cs="Times New Roman"/>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3.</w:t>
            </w:r>
            <w:r>
              <w:rPr>
                <w:rFonts w:hint="eastAsia" w:ascii="宋体" w:hAnsi="宋体"/>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响应文件提交方式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联系人：</w:t>
            </w:r>
            <w:r>
              <w:rPr>
                <w:rFonts w:hint="eastAsia" w:ascii="宋体" w:hAnsi="宋体" w:cs="Times New Roman"/>
                <w:sz w:val="24"/>
                <w:highlight w:val="none"/>
                <w:u w:val="single"/>
                <w:lang w:val="en-US" w:eastAsia="zh-CN"/>
              </w:rPr>
              <w:t>孔万里</w:t>
            </w:r>
            <w:r>
              <w:rPr>
                <w:rFonts w:hint="eastAsia" w:ascii="宋体" w:hAnsi="宋体"/>
                <w:sz w:val="24"/>
                <w:highlight w:val="none"/>
                <w:lang w:val="en-US" w:eastAsia="zh-CN"/>
              </w:rPr>
              <w:t xml:space="preserve">     联系方式：</w:t>
            </w:r>
            <w:r>
              <w:rPr>
                <w:rFonts w:hint="eastAsia" w:ascii="宋体" w:hAnsi="宋体" w:cs="Times New Roman"/>
                <w:sz w:val="24"/>
                <w:highlight w:val="none"/>
                <w:u w:val="single"/>
                <w:lang w:val="en-US" w:eastAsia="zh-CN"/>
              </w:rPr>
              <w:t>18019196725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☑纸质邮寄</w:t>
            </w:r>
            <w:r>
              <w:rPr>
                <w:rFonts w:hint="eastAsia" w:ascii="宋体" w:hAnsi="宋体"/>
                <w:sz w:val="24"/>
                <w:highlight w:val="none"/>
                <w:lang w:val="en-US" w:eastAsia="zh-CN"/>
              </w:rPr>
              <w:t>/</w:t>
            </w:r>
            <w:r>
              <w:rPr>
                <w:rFonts w:hint="eastAsia" w:ascii="宋体" w:hAnsi="宋体"/>
                <w:sz w:val="24"/>
                <w:highlight w:val="none"/>
                <w:lang w:eastAsia="zh-CN"/>
              </w:rPr>
              <w:t>现场送达至</w:t>
            </w:r>
            <w:r>
              <w:rPr>
                <w:rFonts w:hint="eastAsia" w:ascii="宋体" w:hAnsi="宋体"/>
                <w:sz w:val="24"/>
                <w:highlight w:val="none"/>
                <w:lang w:val="en-US" w:eastAsia="zh-CN"/>
              </w:rPr>
              <w:t>：</w:t>
            </w:r>
            <w:r>
              <w:rPr>
                <w:rFonts w:hint="eastAsia" w:ascii="宋体" w:hAnsi="宋体"/>
                <w:sz w:val="24"/>
                <w:highlight w:val="none"/>
                <w:u w:val="single"/>
                <w:lang w:val="en-US" w:eastAsia="zh-CN"/>
              </w:rPr>
              <w:t>上海市闵行区江川东路100号 采购与供应商管理部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宋体" w:hAnsi="宋体"/>
                <w:sz w:val="24"/>
                <w:highlight w:val="none"/>
                <w:lang w:val="en-US" w:eastAsia="zh-CN"/>
              </w:rPr>
            </w:pPr>
            <w:r>
              <w:rPr>
                <w:rFonts w:hint="eastAsia" w:ascii="宋体" w:hAnsi="宋体"/>
                <w:sz w:val="24"/>
                <w:highlight w:val="none"/>
                <w:lang w:eastAsia="zh-CN"/>
              </w:rPr>
              <w:t>☑电子提交</w:t>
            </w:r>
            <w:r>
              <w:rPr>
                <w:rFonts w:hint="eastAsia" w:ascii="宋体" w:hAnsi="宋体"/>
                <w:sz w:val="24"/>
                <w:highlight w:val="none"/>
                <w:lang w:val="en-US" w:eastAsia="zh-CN"/>
              </w:rPr>
              <w:t>至：</w:t>
            </w:r>
            <w:r>
              <w:rPr>
                <w:rFonts w:hint="eastAsia" w:ascii="宋体" w:hAnsi="宋体"/>
                <w:sz w:val="24"/>
                <w:highlight w:val="none"/>
                <w:u w:val="single"/>
                <w:lang w:val="en-US" w:eastAsia="zh-CN"/>
              </w:rPr>
              <w:t>同纸质文件一起封装递交（U盘或光盘）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响应文件必须包含内容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Times New Roman" w:hAnsi="Times New Roman"/>
                <w:sz w:val="24"/>
                <w:highlight w:val="none"/>
              </w:rPr>
              <w:t>竞争性谈判响应声明</w:t>
            </w:r>
            <w:r>
              <w:rPr>
                <w:rFonts w:hint="eastAsia" w:ascii="Times New Roman" w:hAnsi="Times New Roman"/>
                <w:sz w:val="24"/>
                <w:highlight w:val="none"/>
                <w:lang w:val="en-US" w:eastAsia="zh-CN"/>
              </w:rPr>
              <w:t xml:space="preserve">   </w:t>
            </w:r>
            <w:r>
              <w:rPr>
                <w:rFonts w:hint="eastAsia" w:ascii="宋体" w:hAnsi="宋体"/>
                <w:sz w:val="24"/>
                <w:highlight w:val="none"/>
                <w:lang w:eastAsia="zh-CN"/>
              </w:rPr>
              <w:t>☑报价表</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☑商务要求响应表</w:t>
            </w:r>
            <w:r>
              <w:rPr>
                <w:rFonts w:hint="eastAsia" w:ascii="宋体" w:hAnsi="宋体"/>
                <w:sz w:val="24"/>
                <w:highlight w:val="none"/>
                <w:lang w:val="en-US" w:eastAsia="zh-CN"/>
              </w:rPr>
              <w:t xml:space="preserve">        </w:t>
            </w:r>
            <w:r>
              <w:rPr>
                <w:rFonts w:hint="eastAsia" w:ascii="宋体" w:hAnsi="宋体"/>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lang w:eastAsia="zh-CN"/>
              </w:rPr>
              <w:t>☑授权代表人身份证复印件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☑廉洁协议</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响应文件盖章要求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响应文件（骑缝章）</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营业执照</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业绩证明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报价表</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rPr>
              <w:t>竞争性谈判响应声明</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法定代表人授权委托书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left"/>
              <w:textAlignment w:val="auto"/>
              <w:outlineLvl w:val="9"/>
              <w:rPr>
                <w:rFonts w:hint="eastAsia" w:ascii="宋体" w:hAnsi="宋体"/>
                <w:b/>
                <w:bCs/>
                <w:sz w:val="24"/>
                <w:highlight w:val="none"/>
                <w:u w:val="no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截止时间</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b/>
                <w:bCs/>
                <w:sz w:val="24"/>
                <w:highlight w:val="none"/>
                <w:u w:val="none"/>
                <w:lang w:val="en-US" w:eastAsia="zh-CN"/>
              </w:rPr>
              <w:t>2025年3月17日16：00</w:t>
            </w:r>
            <w:bookmarkStart w:id="24" w:name="_GoBack"/>
            <w:bookmarkEnd w:id="24"/>
            <w:r>
              <w:rPr>
                <w:rFonts w:hint="eastAsia" w:ascii="宋体" w:hAnsi="宋体"/>
                <w:b/>
                <w:bCs/>
                <w:sz w:val="24"/>
                <w:highlight w:val="none"/>
                <w:u w:val="none"/>
                <w:lang w:val="en-US" w:eastAsia="zh-CN"/>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3.4</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响应文件数量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rPr>
            </w:pPr>
            <w:r>
              <w:rPr>
                <w:rFonts w:hint="eastAsia" w:ascii="Times New Roman" w:hAnsi="Times New Roman"/>
                <w:sz w:val="24"/>
                <w:highlight w:val="none"/>
              </w:rPr>
              <w:t>需密封：纸质版 1 份，电子版（U盘或光盘）1 份</w:t>
            </w: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u w:val="none"/>
                <w:lang w:val="en-US" w:eastAsia="zh-CN"/>
              </w:rPr>
            </w:pPr>
            <w:r>
              <w:rPr>
                <w:rFonts w:hint="eastAsia" w:ascii="Times New Roman" w:hAnsi="Times New Roman"/>
                <w:sz w:val="24"/>
                <w:highlight w:val="none"/>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3.5</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响应文件有效期</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49" w:firstLineChars="104"/>
              <w:jc w:val="center"/>
              <w:textAlignment w:val="auto"/>
              <w:outlineLvl w:val="9"/>
              <w:rPr>
                <w:rFonts w:hint="eastAsia" w:ascii="宋体" w:hAnsi="宋体"/>
                <w:sz w:val="24"/>
                <w:highlight w:val="none"/>
              </w:rPr>
            </w:pPr>
            <w:r>
              <w:rPr>
                <w:rFonts w:hint="eastAsia" w:ascii="宋体" w:hAnsi="宋体"/>
                <w:b w:val="0"/>
                <w:bCs w:val="0"/>
                <w:sz w:val="24"/>
                <w:highlight w:val="none"/>
                <w:u w:val="none"/>
                <w:lang w:val="en-US" w:eastAsia="zh-CN"/>
              </w:rPr>
              <w:t>自递交响应文件之日起</w:t>
            </w:r>
            <w:r>
              <w:rPr>
                <w:rFonts w:hint="eastAsia" w:ascii="宋体" w:hAnsi="宋体"/>
                <w:b w:val="0"/>
                <w:bCs w:val="0"/>
                <w:sz w:val="24"/>
                <w:highlight w:val="none"/>
                <w:u w:val="single"/>
                <w:lang w:val="en-US" w:eastAsia="zh-CN"/>
              </w:rPr>
              <w:t xml:space="preserve"> 90 </w:t>
            </w:r>
            <w:r>
              <w:rPr>
                <w:rFonts w:hint="eastAsia" w:ascii="宋体" w:hAnsi="宋体"/>
                <w:b w:val="0"/>
                <w:bCs w:val="0"/>
                <w:sz w:val="24"/>
                <w:highlight w:val="none"/>
                <w:u w:val="none"/>
                <w:lang w:val="en-US" w:eastAsia="zh-CN"/>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51" w:firstLineChars="104"/>
              <w:jc w:val="center"/>
              <w:textAlignment w:val="auto"/>
              <w:outlineLvl w:val="9"/>
              <w:rPr>
                <w:rFonts w:hint="eastAsia" w:ascii="宋体" w:hAnsi="宋体"/>
                <w:b w:val="0"/>
                <w:bCs w:val="0"/>
                <w:sz w:val="24"/>
                <w:highlight w:val="none"/>
                <w:u w:val="none"/>
                <w:lang w:val="en-US" w:eastAsia="zh-CN"/>
              </w:rPr>
            </w:pPr>
            <w:r>
              <w:rPr>
                <w:rFonts w:hint="eastAsia" w:ascii="宋体" w:hAnsi="宋体"/>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报价不一致</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评判标准</w:t>
            </w:r>
          </w:p>
        </w:tc>
        <w:tc>
          <w:tcPr>
            <w:tcW w:w="684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0"/>
              <w:jc w:val="left"/>
              <w:textAlignment w:val="auto"/>
              <w:outlineLvl w:val="9"/>
              <w:rPr>
                <w:rFonts w:hint="eastAsia" w:ascii="Times New Roman" w:hAnsi="Times New Roman" w:eastAsia="宋体"/>
                <w:sz w:val="24"/>
                <w:highlight w:val="none"/>
                <w:lang w:eastAsia="zh-CN"/>
              </w:rPr>
            </w:pPr>
            <w:r>
              <w:rPr>
                <w:rFonts w:ascii="Times New Roman" w:hAnsi="Times New Roman"/>
                <w:sz w:val="24"/>
                <w:highlight w:val="none"/>
              </w:rPr>
              <w:t>如</w:t>
            </w:r>
            <w:r>
              <w:rPr>
                <w:rFonts w:hint="eastAsia" w:ascii="Times New Roman" w:hAnsi="Times New Roman"/>
                <w:sz w:val="24"/>
                <w:highlight w:val="none"/>
                <w:lang w:eastAsia="zh-CN"/>
              </w:rPr>
              <w:t>响应</w:t>
            </w:r>
            <w:r>
              <w:rPr>
                <w:rFonts w:ascii="Times New Roman" w:hAnsi="Times New Roman"/>
                <w:sz w:val="24"/>
                <w:highlight w:val="none"/>
              </w:rPr>
              <w:t>文件中出现报价且前后不一致的</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以报价一览表总价（大写）为准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以分项价格表分项报价为准，修正总价</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以所有价格中最低者为准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报价漏项</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如响应文件中分项报价漏项：</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以所有响应单位响应文件中同项最高价计入总价，漏项内容需免费提供</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非“*”号项条款不响应</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如响应文件中对</w:t>
            </w:r>
            <w:r>
              <w:rPr>
                <w:rFonts w:hint="eastAsia" w:ascii="宋体" w:hAnsi="宋体"/>
                <w:sz w:val="24"/>
                <w:highlight w:val="none"/>
                <w:vertAlign w:val="baseline"/>
                <w:lang w:val="en-US" w:eastAsia="zh-CN"/>
              </w:rPr>
              <w:t>非“*”号项条款不响应：</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 超过  3  条（含3条）不响应，废标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 每不响应1条非“*”号项条款，评审价格上调5%（即1条不响应上调5%，2条不响应上调10%）</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7" w:name="_Hlk27473954"/>
    </w:p>
    <w:bookmarkEnd w:id="5"/>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6"/>
      <w:bookmarkEnd w:id="7"/>
      <w:bookmarkStart w:id="8"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8"/>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提交的响应文件</w:t>
      </w:r>
      <w:r>
        <w:rPr>
          <w:rFonts w:hint="eastAsia" w:ascii="Times New Roman" w:hAnsi="Times New Roman"/>
          <w:sz w:val="24"/>
          <w:highlight w:val="none"/>
          <w:lang w:eastAsia="zh-CN"/>
        </w:rPr>
        <w:t>纸质</w:t>
      </w:r>
      <w:r>
        <w:rPr>
          <w:rFonts w:ascii="Times New Roman" w:hAnsi="Times New Roman"/>
          <w:sz w:val="24"/>
          <w:highlight w:val="none"/>
        </w:rPr>
        <w:t>版与电子版有差异，以</w:t>
      </w:r>
      <w:r>
        <w:rPr>
          <w:rFonts w:hint="eastAsia" w:ascii="Times New Roman" w:hAnsi="Times New Roman"/>
          <w:sz w:val="24"/>
          <w:highlight w:val="none"/>
          <w:lang w:eastAsia="zh-CN"/>
        </w:rPr>
        <w:t>纸质</w:t>
      </w:r>
      <w:r>
        <w:rPr>
          <w:rFonts w:ascii="Times New Roman" w:hAnsi="Times New Roman"/>
          <w:sz w:val="24"/>
          <w:highlight w:val="none"/>
        </w:rPr>
        <w:t>版为准。</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ascii="Times New Roman" w:hAnsi="Times New Roman"/>
          <w:sz w:val="24"/>
          <w:highlight w:val="none"/>
        </w:rPr>
        <w:t>本文件</w:t>
      </w:r>
      <w:r>
        <w:rPr>
          <w:rFonts w:hint="eastAsia" w:ascii="Times New Roman" w:hAnsi="Times New Roman"/>
          <w:sz w:val="24"/>
          <w:highlight w:val="none"/>
          <w:lang w:eastAsia="zh-CN"/>
        </w:rPr>
        <w:t>第四章及第五章</w:t>
      </w:r>
      <w:r>
        <w:rPr>
          <w:rFonts w:ascii="Times New Roman" w:hAnsi="Times New Roman"/>
          <w:sz w:val="24"/>
          <w:highlight w:val="none"/>
        </w:rPr>
        <w:t>中标注“*”号的均为关键</w:t>
      </w:r>
      <w:r>
        <w:rPr>
          <w:rFonts w:hint="eastAsia" w:ascii="Times New Roman" w:hAnsi="Times New Roman"/>
          <w:sz w:val="24"/>
          <w:highlight w:val="none"/>
          <w:lang w:eastAsia="zh-CN"/>
        </w:rPr>
        <w:t>商务要求</w:t>
      </w:r>
      <w:r>
        <w:rPr>
          <w:rFonts w:ascii="Times New Roman" w:hAnsi="Times New Roman"/>
          <w:sz w:val="24"/>
          <w:highlight w:val="none"/>
        </w:rPr>
        <w:t>或关键</w:t>
      </w:r>
      <w:r>
        <w:rPr>
          <w:rFonts w:hint="eastAsia" w:ascii="Times New Roman" w:hAnsi="Times New Roman"/>
          <w:sz w:val="24"/>
          <w:highlight w:val="none"/>
          <w:lang w:eastAsia="zh-CN"/>
        </w:rPr>
        <w:t>技术要求</w:t>
      </w:r>
      <w:r>
        <w:rPr>
          <w:rFonts w:ascii="Times New Roman" w:hAnsi="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本文件所指“公章”指需要响应单位的公司章，“投标专用章”、“合同专用章”等均不属于公章。</w:t>
      </w:r>
      <w:r>
        <w:rPr>
          <w:rFonts w:hint="eastAsia" w:ascii="Times New Roman" w:hAnsi="Times New Roman"/>
          <w:sz w:val="24"/>
          <w:highlight w:val="none"/>
          <w:lang w:eastAsia="zh-CN"/>
        </w:rPr>
        <w:tab/>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w:t>
      </w:r>
      <w:r>
        <w:rPr>
          <w:rFonts w:hint="eastAsia"/>
          <w:sz w:val="24"/>
          <w:highlight w:val="none"/>
          <w:lang w:val="en-US" w:eastAsia="zh-CN"/>
        </w:rPr>
        <w:t>纸质版本</w:t>
      </w:r>
      <w:r>
        <w:rPr>
          <w:rFonts w:hint="eastAsia" w:ascii="Times New Roman" w:hAnsi="Times New Roman"/>
          <w:sz w:val="24"/>
          <w:highlight w:val="none"/>
          <w:lang w:eastAsia="zh-CN"/>
        </w:rPr>
        <w:t>应打印或用不褪色墨水书写，不得有任何修改。提供的电子版本应为响应文件</w:t>
      </w:r>
      <w:r>
        <w:rPr>
          <w:rFonts w:hint="eastAsia"/>
          <w:sz w:val="24"/>
          <w:highlight w:val="none"/>
          <w:lang w:val="en-US" w:eastAsia="zh-CN"/>
        </w:rPr>
        <w:t>纸质版</w:t>
      </w:r>
      <w:r>
        <w:rPr>
          <w:rFonts w:hint="eastAsia" w:ascii="Times New Roman" w:hAnsi="Times New Roman"/>
          <w:sz w:val="24"/>
          <w:highlight w:val="none"/>
          <w:lang w:eastAsia="zh-CN"/>
        </w:rPr>
        <w:t>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客服公司组建</w:t>
      </w:r>
      <w:r>
        <w:rPr>
          <w:rFonts w:hint="eastAsia"/>
          <w:sz w:val="24"/>
          <w:highlight w:val="none"/>
          <w:lang w:eastAsia="zh-CN"/>
        </w:rPr>
        <w:t>供应商选择工作小组</w:t>
      </w:r>
      <w:r>
        <w:rPr>
          <w:rFonts w:hint="eastAsia" w:ascii="Times New Roman" w:hAnsi="Times New Roman"/>
          <w:sz w:val="24"/>
          <w:highlight w:val="none"/>
          <w:lang w:eastAsia="zh-CN"/>
        </w:rPr>
        <w:t>组织开标（响应单位无需到场）。</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sz w:val="24"/>
          <w:highlight w:val="none"/>
          <w:lang w:eastAsia="zh-CN"/>
        </w:rPr>
        <w:t>供应商选择工作小组</w:t>
      </w:r>
      <w:r>
        <w:rPr>
          <w:rFonts w:hint="eastAsia" w:ascii="Times New Roman" w:hAnsi="Times New Roman"/>
          <w:sz w:val="24"/>
          <w:highlight w:val="none"/>
          <w:lang w:eastAsia="zh-CN"/>
        </w:rPr>
        <w:t>按照竞争性谈判文件要求开展评审，评审过程中，</w:t>
      </w:r>
      <w:r>
        <w:rPr>
          <w:rFonts w:hint="eastAsia"/>
          <w:sz w:val="24"/>
          <w:highlight w:val="none"/>
          <w:lang w:eastAsia="zh-CN"/>
        </w:rPr>
        <w:t>供应商选择工作小组</w:t>
      </w:r>
      <w:r>
        <w:rPr>
          <w:rFonts w:hint="eastAsia" w:ascii="Times New Roman" w:hAnsi="Times New Roman"/>
          <w:sz w:val="24"/>
          <w:highlight w:val="none"/>
          <w:lang w:eastAsia="zh-CN"/>
        </w:rPr>
        <w:t>可与受邀供应商开展谈判，谈判后供应商应提交最终版的响应文件及报价。</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sz w:val="24"/>
          <w:highlight w:val="none"/>
          <w:lang w:val="en-US" w:eastAsia="zh-CN"/>
        </w:rPr>
        <w:t>供应商选择工作小组</w:t>
      </w:r>
      <w:r>
        <w:rPr>
          <w:rFonts w:hint="eastAsia" w:ascii="Times New Roman" w:hAnsi="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9" w:name="_Hlk11752017"/>
      <w:bookmarkStart w:id="10"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11"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1"/>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2"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客服公司组建的供应商选择工作小组负责</w:t>
      </w:r>
      <w:r>
        <w:rPr>
          <w:rFonts w:ascii="Calibri" w:hAnsi="Calibri" w:cs="Calibri"/>
          <w:snapToGrid w:val="0"/>
          <w:sz w:val="24"/>
          <w:szCs w:val="24"/>
          <w:highlight w:val="none"/>
          <w:lang w:eastAsia="ko-KR"/>
        </w:rPr>
        <w:t>。</w:t>
      </w: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2"/>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评审内容</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营业执照</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商务要求或技术要求</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w:t>
            </w:r>
            <w:r>
              <w:rPr>
                <w:rFonts w:hint="eastAsia" w:ascii="宋体" w:hAnsi="宋体"/>
                <w:szCs w:val="21"/>
                <w:highlight w:val="none"/>
                <w:lang w:eastAsia="zh-CN"/>
              </w:rPr>
              <w:t>响应</w:t>
            </w:r>
            <w:r>
              <w:rPr>
                <w:rFonts w:hint="eastAsia" w:ascii="宋体" w:hAnsi="宋体"/>
                <w:szCs w:val="21"/>
                <w:highlight w:val="none"/>
              </w:rPr>
              <w:t>竞争性谈判文件</w:t>
            </w:r>
            <w:r>
              <w:rPr>
                <w:rFonts w:hint="eastAsia" w:ascii="宋体" w:hAnsi="宋体"/>
                <w:szCs w:val="21"/>
                <w:highlight w:val="none"/>
                <w:lang w:eastAsia="zh-CN"/>
              </w:rPr>
              <w:t>“</w:t>
            </w:r>
            <w:r>
              <w:rPr>
                <w:rFonts w:hint="eastAsia" w:ascii="宋体" w:hAnsi="宋体"/>
                <w:szCs w:val="21"/>
                <w:highlight w:val="none"/>
                <w:lang w:val="en-US" w:eastAsia="zh-CN"/>
              </w:rPr>
              <w:t>*</w:t>
            </w:r>
            <w:r>
              <w:rPr>
                <w:rFonts w:hint="eastAsia" w:ascii="宋体" w:hAnsi="宋体"/>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rPr>
              <w:t>供应商名称</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文件签署</w:t>
            </w:r>
          </w:p>
        </w:tc>
        <w:tc>
          <w:tcPr>
            <w:tcW w:w="5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未按竞争性谈判文件要求</w:t>
            </w:r>
            <w:r>
              <w:rPr>
                <w:rFonts w:hint="eastAsia" w:ascii="宋体" w:hAnsi="宋体"/>
                <w:szCs w:val="21"/>
                <w:highlight w:val="none"/>
                <w:lang w:eastAsia="zh-CN"/>
              </w:rPr>
              <w:t>签署或</w:t>
            </w:r>
            <w:r>
              <w:rPr>
                <w:rFonts w:hint="eastAsia" w:ascii="宋体" w:hAnsi="宋体"/>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方案及报价</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递交两份或多份内容不同的</w:t>
            </w:r>
            <w:r>
              <w:rPr>
                <w:rFonts w:hint="eastAsia" w:ascii="宋体" w:hAnsi="宋体"/>
                <w:szCs w:val="21"/>
                <w:highlight w:val="none"/>
                <w:lang w:eastAsia="zh-CN"/>
              </w:rPr>
              <w:t>响应文件</w:t>
            </w:r>
            <w:r>
              <w:rPr>
                <w:rFonts w:hint="eastAsia" w:ascii="宋体" w:hAnsi="宋体"/>
                <w:szCs w:val="21"/>
                <w:highlight w:val="none"/>
              </w:rPr>
              <w:t>，或在一份</w:t>
            </w:r>
            <w:r>
              <w:rPr>
                <w:rFonts w:hint="eastAsia" w:ascii="宋体" w:hAnsi="宋体"/>
                <w:szCs w:val="21"/>
                <w:highlight w:val="none"/>
                <w:lang w:eastAsia="zh-CN"/>
              </w:rPr>
              <w:t>响应文件</w:t>
            </w:r>
            <w:r>
              <w:rPr>
                <w:rFonts w:hint="eastAsia" w:ascii="宋体" w:hAnsi="宋体"/>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响应文件</w:t>
            </w:r>
            <w:r>
              <w:rPr>
                <w:rFonts w:hint="eastAsia" w:ascii="宋体" w:hAnsi="宋体"/>
                <w:szCs w:val="21"/>
                <w:highlight w:val="none"/>
              </w:rPr>
              <w:t>有效期</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lang w:eastAsia="zh-CN"/>
              </w:rPr>
              <w:t>服务期限</w:t>
            </w:r>
            <w:r>
              <w:rPr>
                <w:rFonts w:hint="eastAsia" w:ascii="宋体" w:hAnsi="宋体"/>
                <w:szCs w:val="21"/>
                <w:highlight w:val="none"/>
              </w:rPr>
              <w:t>或付款方式</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供应商选择工作小组可自行决定与供应商开展商务谈判，谈判将与响应单位单独进行，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2"/>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最通过符合性评审的响应单位的最终报价进行确认，经过谈判后有提供最后报价的，以最后报价为准。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b w:val="0"/>
          <w:bCs w:val="0"/>
          <w:sz w:val="24"/>
          <w:highlight w:val="none"/>
          <w:lang w:eastAsia="zh-CN"/>
        </w:rPr>
        <w:t>供应商选择工作小组</w:t>
      </w:r>
      <w:r>
        <w:rPr>
          <w:rFonts w:hint="eastAsia" w:ascii="Times New Roman" w:hAnsi="Times New Roman"/>
          <w:b w:val="0"/>
          <w:bCs w:val="0"/>
          <w:sz w:val="24"/>
          <w:highlight w:val="none"/>
          <w:lang w:eastAsia="zh-CN"/>
        </w:rPr>
        <w:t>根据评标价格，按价格由低到高推荐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当出现2家以上的评标价格相同时，由</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如评标价格为最低价或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当最低评标价格低于其他有效响应单位的评标价格算术平均数的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b w:val="0"/>
          <w:bCs w:val="0"/>
          <w:sz w:val="24"/>
          <w:highlight w:val="none"/>
          <w:lang w:eastAsia="zh-CN"/>
        </w:rPr>
        <w:t>供应商选择工作小组</w:t>
      </w:r>
      <w:r>
        <w:rPr>
          <w:rFonts w:hint="eastAsia" w:ascii="Times New Roman" w:hAnsi="Times New Roman"/>
          <w:b w:val="0"/>
          <w:bCs w:val="0"/>
          <w:sz w:val="24"/>
          <w:highlight w:val="none"/>
          <w:lang w:eastAsia="zh-CN"/>
        </w:rPr>
        <w:t>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spacing w:line="440" w:lineRule="exact"/>
        <w:ind w:firstLine="630" w:firstLineChars="300"/>
        <w:textAlignment w:val="auto"/>
        <w:outlineLvl w:val="9"/>
        <w:rPr>
          <w:rFonts w:ascii="宋体" w:hAnsi="宋体"/>
          <w:szCs w:val="21"/>
          <w:highlight w:val="none"/>
        </w:rPr>
      </w:pP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3"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3"/>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营业执照</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应提供最新年检的企业法人营业执照、组织机构代码证、税务登记证及其他相应资质文件。（若三证合一，只需提供企业法人营业执照）</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注册资金</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5" w:leftChars="102" w:hanging="11"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响应单位注册资金不低于</w:t>
            </w:r>
            <w:r>
              <w:rPr>
                <w:rFonts w:hint="eastAsia" w:ascii="宋体" w:hAnsi="宋体"/>
                <w:b w:val="0"/>
                <w:bCs w:val="0"/>
                <w:sz w:val="24"/>
                <w:highlight w:val="none"/>
                <w:u w:val="single"/>
                <w:lang w:val="en-US" w:eastAsia="zh-CN"/>
              </w:rPr>
              <w:t xml:space="preserve">  500 </w:t>
            </w:r>
            <w:r>
              <w:rPr>
                <w:rFonts w:hint="eastAsia" w:ascii="宋体" w:hAnsi="宋体"/>
                <w:b w:val="0"/>
                <w:bCs w:val="0"/>
                <w:sz w:val="24"/>
                <w:highlight w:val="none"/>
                <w:u w:val="none"/>
                <w:lang w:val="en-US" w:eastAsia="zh-CN"/>
              </w:rPr>
              <w:t>万元，营业执照无法体现的，需提供额外证明材料或承诺函。</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427" w:leftChars="103" w:hanging="211" w:hangingChars="88"/>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财务状况</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rPr>
              <w:t>提供近</w:t>
            </w:r>
            <w:r>
              <w:rPr>
                <w:rFonts w:hint="eastAsia" w:ascii="宋体" w:hAnsi="宋体"/>
                <w:sz w:val="24"/>
                <w:highlight w:val="none"/>
                <w:u w:val="single"/>
                <w:lang w:val="en-US" w:eastAsia="zh-CN"/>
              </w:rPr>
              <w:t xml:space="preserve"> 3  </w:t>
            </w:r>
            <w:r>
              <w:rPr>
                <w:rFonts w:hint="eastAsia" w:ascii="宋体" w:hAnsi="宋体"/>
                <w:sz w:val="24"/>
                <w:highlight w:val="none"/>
              </w:rPr>
              <w:t>年</w:t>
            </w:r>
            <w:r>
              <w:rPr>
                <w:rFonts w:hint="eastAsia" w:ascii="宋体" w:hAnsi="宋体"/>
                <w:sz w:val="24"/>
                <w:highlight w:val="none"/>
                <w:lang w:eastAsia="zh-CN"/>
              </w:rPr>
              <w:t>（</w:t>
            </w:r>
            <w:r>
              <w:rPr>
                <w:rFonts w:hint="eastAsia" w:ascii="宋体" w:hAnsi="宋体"/>
                <w:sz w:val="24"/>
                <w:highlight w:val="none"/>
                <w:lang w:val="en-US" w:eastAsia="zh-CN"/>
              </w:rPr>
              <w:t>2021-2023</w:t>
            </w:r>
            <w:r>
              <w:rPr>
                <w:rFonts w:hint="eastAsia" w:ascii="宋体" w:hAnsi="宋体"/>
                <w:sz w:val="24"/>
                <w:highlight w:val="none"/>
                <w:lang w:eastAsia="zh-CN"/>
              </w:rPr>
              <w:t>）</w:t>
            </w:r>
            <w:r>
              <w:rPr>
                <w:rFonts w:hint="eastAsia" w:ascii="宋体" w:hAnsi="宋体"/>
                <w:sz w:val="24"/>
                <w:highlight w:val="none"/>
              </w:rPr>
              <w:t>的财务报表，包括资产负债表、利润表及现金流量表</w:t>
            </w:r>
            <w:r>
              <w:rPr>
                <w:rFonts w:hint="eastAsia" w:ascii="宋体" w:hAnsi="宋体"/>
                <w:sz w:val="24"/>
                <w:highlight w:val="none"/>
                <w:lang w:eastAsia="zh-CN"/>
              </w:rPr>
              <w:t>。（成立不足</w:t>
            </w:r>
            <w:r>
              <w:rPr>
                <w:rFonts w:hint="eastAsia" w:ascii="宋体" w:hAnsi="宋体"/>
                <w:sz w:val="24"/>
                <w:highlight w:val="none"/>
                <w:u w:val="single"/>
                <w:lang w:val="en-US" w:eastAsia="zh-CN"/>
              </w:rPr>
              <w:t xml:space="preserve"> 3 </w:t>
            </w:r>
            <w:r>
              <w:rPr>
                <w:rFonts w:hint="eastAsia" w:ascii="宋体" w:hAnsi="宋体"/>
                <w:sz w:val="24"/>
                <w:highlight w:val="none"/>
                <w:lang w:val="en-US" w:eastAsia="zh-CN"/>
              </w:rPr>
              <w:t>年的提供自公司成立起至今的财务报表）。</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eastAsia="宋体"/>
                <w:sz w:val="24"/>
                <w:highlight w:val="none"/>
                <w:vertAlign w:val="baseline"/>
                <w:lang w:eastAsia="zh-CN"/>
              </w:rPr>
              <w:t>业绩要求</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近</w:t>
            </w:r>
            <w:r>
              <w:rPr>
                <w:rFonts w:hint="eastAsia" w:ascii="宋体" w:hAnsi="宋体"/>
                <w:sz w:val="24"/>
                <w:highlight w:val="none"/>
                <w:u w:val="single"/>
                <w:lang w:val="en-US" w:eastAsia="zh-CN"/>
              </w:rPr>
              <w:t xml:space="preserve"> 3 </w:t>
            </w:r>
            <w:r>
              <w:rPr>
                <w:rFonts w:ascii="Times New Roman" w:hAnsi="Times New Roman"/>
                <w:sz w:val="24"/>
                <w:highlight w:val="none"/>
              </w:rPr>
              <w:t>年（</w:t>
            </w:r>
            <w:r>
              <w:rPr>
                <w:rFonts w:hint="eastAsia" w:ascii="宋体" w:hAnsi="宋体"/>
                <w:sz w:val="24"/>
                <w:highlight w:val="none"/>
                <w:u w:val="single"/>
                <w:lang w:val="en-US" w:eastAsia="zh-CN"/>
              </w:rPr>
              <w:t xml:space="preserve">2022 </w:t>
            </w:r>
            <w:r>
              <w:rPr>
                <w:rFonts w:ascii="Times New Roman" w:hAnsi="Times New Roman"/>
                <w:sz w:val="24"/>
                <w:highlight w:val="none"/>
              </w:rPr>
              <w:t>年~</w:t>
            </w:r>
            <w:r>
              <w:rPr>
                <w:rFonts w:hint="eastAsia" w:ascii="宋体" w:hAnsi="宋体"/>
                <w:sz w:val="24"/>
                <w:highlight w:val="none"/>
                <w:u w:val="single"/>
                <w:lang w:val="en-US" w:eastAsia="zh-CN"/>
              </w:rPr>
              <w:t>2024</w:t>
            </w:r>
            <w:r>
              <w:rPr>
                <w:rFonts w:ascii="Times New Roman" w:hAnsi="Times New Roman"/>
                <w:sz w:val="24"/>
                <w:highlight w:val="none"/>
              </w:rPr>
              <w:t>年）应有</w:t>
            </w:r>
            <w:r>
              <w:rPr>
                <w:rFonts w:hint="eastAsia" w:ascii="Times New Roman" w:hAnsi="Times New Roman"/>
                <w:sz w:val="24"/>
                <w:highlight w:val="none"/>
                <w:lang w:eastAsia="zh-CN"/>
              </w:rPr>
              <w:t>不低于</w:t>
            </w:r>
            <w:r>
              <w:rPr>
                <w:rFonts w:hint="eastAsia" w:ascii="宋体" w:hAnsi="宋体"/>
                <w:sz w:val="24"/>
                <w:highlight w:val="none"/>
                <w:u w:val="single"/>
                <w:lang w:val="en-US" w:eastAsia="zh-CN"/>
              </w:rPr>
              <w:t xml:space="preserve"> 1 </w:t>
            </w:r>
            <w:r>
              <w:rPr>
                <w:rFonts w:hint="eastAsia" w:ascii="宋体" w:hAnsi="宋体"/>
                <w:b w:val="0"/>
                <w:bCs w:val="0"/>
                <w:sz w:val="24"/>
                <w:highlight w:val="none"/>
                <w:u w:val="none"/>
                <w:lang w:val="en-US" w:eastAsia="zh-CN"/>
              </w:rPr>
              <w:t>份与</w:t>
            </w:r>
            <w:r>
              <w:rPr>
                <w:rFonts w:ascii="Times New Roman" w:hAnsi="Times New Roman"/>
                <w:sz w:val="24"/>
                <w:highlight w:val="none"/>
              </w:rPr>
              <w:t>本次</w:t>
            </w:r>
            <w:r>
              <w:rPr>
                <w:rFonts w:hint="eastAsia" w:ascii="Times New Roman" w:hAnsi="Times New Roman"/>
                <w:sz w:val="24"/>
                <w:highlight w:val="none"/>
                <w:lang w:eastAsia="zh-CN"/>
              </w:rPr>
              <w:t>采购</w:t>
            </w:r>
            <w:r>
              <w:rPr>
                <w:rFonts w:hint="eastAsia" w:ascii="Times New Roman" w:hAnsi="Times New Roman"/>
                <w:sz w:val="24"/>
                <w:highlight w:val="none"/>
                <w:lang w:val="en-US" w:eastAsia="zh-CN"/>
              </w:rPr>
              <w:t>服务</w:t>
            </w:r>
            <w:r>
              <w:rPr>
                <w:rFonts w:ascii="Times New Roman" w:hAnsi="Times New Roman"/>
                <w:sz w:val="24"/>
                <w:highlight w:val="none"/>
              </w:rPr>
              <w:t>相同或类似</w:t>
            </w:r>
            <w:r>
              <w:rPr>
                <w:rFonts w:hint="eastAsia" w:ascii="Times New Roman" w:hAnsi="Times New Roman"/>
                <w:sz w:val="24"/>
                <w:highlight w:val="none"/>
                <w:lang w:val="en-US" w:eastAsia="zh-CN"/>
              </w:rPr>
              <w:t>的</w:t>
            </w:r>
            <w:r>
              <w:rPr>
                <w:rFonts w:ascii="Times New Roman" w:hAnsi="Times New Roman"/>
                <w:sz w:val="24"/>
                <w:highlight w:val="none"/>
              </w:rPr>
              <w:t>业绩，提供合同复印件作为证明材料（合同复印件须能认定</w:t>
            </w:r>
            <w:r>
              <w:rPr>
                <w:rFonts w:hint="eastAsia" w:ascii="Times New Roman" w:hAnsi="Times New Roman"/>
                <w:sz w:val="24"/>
                <w:highlight w:val="none"/>
                <w:lang w:eastAsia="zh-CN"/>
              </w:rPr>
              <w:t>合同金额、</w:t>
            </w:r>
            <w:r>
              <w:rPr>
                <w:rFonts w:ascii="Times New Roman" w:hAnsi="Times New Roman"/>
                <w:sz w:val="24"/>
                <w:highlight w:val="none"/>
              </w:rPr>
              <w:t>签署日期、</w:t>
            </w:r>
            <w:r>
              <w:rPr>
                <w:rFonts w:hint="eastAsia" w:ascii="Times New Roman" w:hAnsi="Times New Roman"/>
                <w:sz w:val="24"/>
                <w:highlight w:val="none"/>
                <w:lang w:val="en-US" w:eastAsia="zh-CN"/>
              </w:rPr>
              <w:t>服务</w:t>
            </w:r>
            <w:r>
              <w:rPr>
                <w:rFonts w:ascii="Times New Roman" w:hAnsi="Times New Roman"/>
                <w:sz w:val="24"/>
                <w:highlight w:val="none"/>
              </w:rPr>
              <w:t>内容、合同签订方，否则将作为无效证明材料）</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both"/>
              <w:textAlignment w:val="auto"/>
              <w:outlineLvl w:val="9"/>
              <w:rPr>
                <w:rFonts w:hint="eastAsia" w:ascii="宋体" w:hAnsi="宋体"/>
                <w:sz w:val="24"/>
                <w:highlight w:val="none"/>
                <w:vertAlign w:val="baseli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*5</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付款条款</w:t>
            </w:r>
          </w:p>
        </w:tc>
        <w:tc>
          <w:tcPr>
            <w:tcW w:w="6604" w:type="dxa"/>
            <w:vAlign w:val="center"/>
          </w:tcPr>
          <w:p>
            <w:pPr>
              <w:pStyle w:val="10"/>
              <w:numPr>
                <w:ilvl w:val="0"/>
                <w:numId w:val="0"/>
              </w:numPr>
              <w:spacing w:after="0"/>
              <w:ind w:left="216" w:leftChars="103" w:firstLine="2" w:firstLineChars="0"/>
              <w:jc w:val="both"/>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按以下模式一次性付款：</w:t>
            </w:r>
          </w:p>
          <w:p>
            <w:pPr>
              <w:pStyle w:val="10"/>
              <w:numPr>
                <w:ilvl w:val="0"/>
                <w:numId w:val="0"/>
              </w:numPr>
              <w:spacing w:after="0"/>
              <w:ind w:left="420" w:leftChars="0" w:firstLine="480" w:firstLineChars="200"/>
              <w:jc w:val="both"/>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验收合格并收到成交单位按客服公司要求开具的真实合法有效的发票后一次性支付全部款项。</w:t>
            </w:r>
          </w:p>
          <w:p>
            <w:pPr>
              <w:pStyle w:val="10"/>
              <w:spacing w:after="0"/>
              <w:ind w:left="647" w:leftChars="104" w:hanging="429" w:hangingChars="178"/>
              <w:jc w:val="left"/>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按以下模式分期付款（适用于非一次性付款的工装类货物）</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元，成交单位应于工装完成预验收并收到客服公司提供的设备预验收报告后向客服公司开具累计至第二期付款金额的真实合法有效的发票，客服公司在收到发票之日起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日内支付。[注：第二期付款是预验收款，如无需预验收则可视情况删除]</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2"/>
              </w:numPr>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元，客服公司于工装质保期期满之日起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eastAsia" w:ascii="宋体" w:hAnsi="宋体"/>
                <w:b w:val="0"/>
                <w:bCs w:val="0"/>
                <w:kern w:val="2"/>
                <w:sz w:val="24"/>
                <w:szCs w:val="24"/>
                <w:highlight w:val="none"/>
                <w:lang w:val="en-US" w:eastAsia="zh-CN" w:bidi="ar-SA"/>
              </w:rPr>
            </w:pPr>
            <w:r>
              <w:rPr>
                <w:rFonts w:hint="eastAsia" w:ascii="宋体" w:hAnsi="宋体"/>
                <w:b/>
                <w:bCs/>
                <w:sz w:val="24"/>
                <w:highlight w:val="none"/>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按以下模式分期付款（适用于非一次性付款的设备类货物）</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第一期付款：预付款人民币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元，成交单位应于设备完成预验收并收到甲方提供的设备预验收报告后向客服公司开具累计至第二期付款金额的发票，客服公司在收到发票之日起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日内按客服公司要求开具合同剩余金额的发票,客服公司收到发票之日起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元，客服公司于设备质保期期满之日起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ind w:firstLine="241" w:firstLineChars="100"/>
              <w:rPr>
                <w:rFonts w:hint="eastAsia" w:ascii="宋体" w:hAnsi="宋体"/>
                <w:b/>
                <w:bCs/>
                <w:kern w:val="2"/>
                <w:sz w:val="24"/>
                <w:szCs w:val="24"/>
                <w:highlight w:val="none"/>
                <w:lang w:val="en-US" w:eastAsia="zh-CN" w:bidi="ar-SA"/>
              </w:rPr>
            </w:pPr>
            <w:r>
              <w:rPr>
                <w:rFonts w:hint="eastAsia" w:ascii="宋体" w:hAnsi="宋体"/>
                <w:b/>
                <w:bCs/>
                <w:sz w:val="24"/>
                <w:highlight w:val="none"/>
                <w:lang w:eastAsia="zh-CN"/>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按以下模式分期付款(适用于库房租赁)</w:t>
            </w:r>
          </w:p>
          <w:p>
            <w:pPr>
              <w:pStyle w:val="10"/>
              <w:numPr>
                <w:ilvl w:val="0"/>
                <w:numId w:val="0"/>
              </w:numPr>
              <w:spacing w:after="0"/>
              <w:ind w:left="718" w:leftChars="342" w:firstLine="0" w:firstLineChars="0"/>
              <w:jc w:val="left"/>
              <w:rPr>
                <w:rFonts w:hint="default" w:ascii="宋体" w:hAnsi="宋体"/>
                <w:b w:val="0"/>
                <w:bCs w:val="0"/>
                <w:kern w:val="2"/>
                <w:sz w:val="24"/>
                <w:szCs w:val="24"/>
                <w:highlight w:val="none"/>
                <w:u w:val="none"/>
                <w:lang w:val="en-US" w:eastAsia="zh-CN" w:bidi="ar-SA"/>
              </w:rPr>
            </w:pPr>
            <w:r>
              <w:rPr>
                <w:rFonts w:hint="eastAsia" w:ascii="宋体" w:hAnsi="宋体"/>
                <w:b w:val="0"/>
                <w:bCs w:val="0"/>
                <w:kern w:val="2"/>
                <w:sz w:val="24"/>
                <w:szCs w:val="24"/>
                <w:highlight w:val="none"/>
                <w:u w:val="none"/>
                <w:lang w:val="en-US" w:eastAsia="zh-CN" w:bidi="ar-SA"/>
              </w:rPr>
              <w:t>客服公司向成交单位支付的费用应每满六个月结算一次，客服公司应在租赁期每满六个月后收到成交单位对应金额的增值税专用发票后30个工作日内完成付款。</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 xml:space="preserve">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p>
        </w:tc>
        <w:tc>
          <w:tcPr>
            <w:tcW w:w="6604" w:type="dxa"/>
            <w:vAlign w:val="center"/>
          </w:tcPr>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lang w:val="en-US" w:eastAsia="zh-CN"/>
              </w:rPr>
            </w:pPr>
            <w:r>
              <w:rPr>
                <w:rFonts w:hint="eastAsia" w:ascii="宋体" w:hAnsi="宋体"/>
                <w:b/>
                <w:bCs/>
                <w:sz w:val="24"/>
                <w:highlight w:val="none"/>
                <w:lang w:val="en-US" w:eastAsia="zh-CN"/>
              </w:rPr>
              <w:t>上述合同付款条款，</w:t>
            </w:r>
            <w:r>
              <w:rPr>
                <w:rFonts w:hint="eastAsia" w:ascii="宋体" w:hAnsi="宋体"/>
                <w:b/>
                <w:bCs/>
                <w:kern w:val="2"/>
                <w:sz w:val="24"/>
                <w:szCs w:val="24"/>
                <w:highlight w:val="none"/>
                <w:lang w:val="en-US" w:eastAsia="zh-CN" w:bidi="ar-SA"/>
              </w:rPr>
              <w:t>根据客服公司选择，具体开票要求如下</w:t>
            </w:r>
            <w:r>
              <w:rPr>
                <w:rFonts w:hint="eastAsia" w:ascii="宋体" w:hAnsi="宋体"/>
                <w:b/>
                <w:bCs/>
                <w:sz w:val="24"/>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成交单位按含税价开具真实合法有效的增值税专用发票；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成交单位按不含税价开具符合要求的形式发票或增值税普通发票；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6</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w:t>
            </w:r>
          </w:p>
        </w:tc>
        <w:tc>
          <w:tcPr>
            <w:tcW w:w="6604"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本项目报价应包括以下内容：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firstLine="480" w:firstLineChars="200"/>
              <w:jc w:val="left"/>
              <w:textAlignment w:val="auto"/>
              <w:outlineLvl w:val="9"/>
              <w:rPr>
                <w:rFonts w:hint="eastAsia" w:ascii="宋体" w:hAnsi="宋体"/>
                <w:sz w:val="24"/>
                <w:highlight w:val="none"/>
              </w:rPr>
            </w:pPr>
            <w:r>
              <w:rPr>
                <w:rFonts w:hint="eastAsia" w:ascii="Times New Roman" w:hAnsi="Times New Roman"/>
                <w:sz w:val="24"/>
                <w:highlight w:val="none"/>
                <w:lang w:val="en-US" w:eastAsia="zh-CN"/>
              </w:rPr>
              <w:t>__</w:t>
            </w:r>
            <w:r>
              <w:rPr>
                <w:rFonts w:hint="eastAsia" w:ascii="Times New Roman" w:hAnsi="Times New Roman"/>
                <w:sz w:val="24"/>
                <w:highlight w:val="none"/>
                <w:u w:val="single"/>
                <w:lang w:val="en-US" w:eastAsia="zh-CN"/>
              </w:rPr>
              <w:t>完成本项目的所有所需费用</w:t>
            </w:r>
            <w:r>
              <w:rPr>
                <w:rFonts w:hint="eastAsia" w:ascii="Times New Roman" w:hAnsi="Times New Roman"/>
                <w:sz w:val="24"/>
                <w:highlight w:val="none"/>
                <w:lang w:val="en-US" w:eastAsia="zh-CN"/>
              </w:rPr>
              <w:t>___________________</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hint="eastAsia" w:ascii="宋体" w:hAnsi="宋体"/>
                <w:sz w:val="24"/>
                <w:highlight w:val="none"/>
                <w:lang w:eastAsia="zh-CN"/>
              </w:rPr>
              <w:t>响应单位</w:t>
            </w:r>
            <w:r>
              <w:rPr>
                <w:rFonts w:hint="eastAsia" w:ascii="宋体" w:hAnsi="宋体"/>
                <w:sz w:val="24"/>
                <w:highlight w:val="none"/>
              </w:rPr>
              <w:t>须在</w:t>
            </w:r>
            <w:r>
              <w:rPr>
                <w:rFonts w:hint="eastAsia" w:ascii="宋体" w:hAnsi="宋体"/>
                <w:sz w:val="24"/>
                <w:highlight w:val="none"/>
                <w:lang w:eastAsia="zh-CN"/>
              </w:rPr>
              <w:t>分项报价表</w:t>
            </w:r>
            <w:r>
              <w:rPr>
                <w:rFonts w:hint="eastAsia" w:ascii="宋体" w:hAnsi="宋体"/>
                <w:sz w:val="24"/>
                <w:highlight w:val="none"/>
              </w:rPr>
              <w:t>（见附件）中分别报出以上各部分价格。</w:t>
            </w:r>
            <w:r>
              <w:rPr>
                <w:rFonts w:hint="eastAsia" w:ascii="宋体" w:hAnsi="宋体"/>
                <w:sz w:val="24"/>
                <w:highlight w:val="none"/>
                <w:lang w:eastAsia="zh-CN"/>
              </w:rPr>
              <w:t>响应单位</w:t>
            </w:r>
            <w:r>
              <w:rPr>
                <w:rFonts w:hint="eastAsia" w:ascii="宋体" w:hAnsi="宋体"/>
                <w:sz w:val="24"/>
                <w:highlight w:val="none"/>
              </w:rPr>
              <w:t>根据报价需要可对“分项报价表”进行扩展。</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报价应是本项目范围内全部工作内容的价格体现，应包含所涉及的一切相关费用，若有遗漏，</w:t>
            </w:r>
            <w:r>
              <w:rPr>
                <w:rFonts w:hint="eastAsia" w:ascii="Times New Roman" w:hAnsi="Times New Roman"/>
                <w:sz w:val="24"/>
                <w:highlight w:val="none"/>
                <w:lang w:eastAsia="zh-CN"/>
              </w:rPr>
              <w:t>客服</w:t>
            </w:r>
            <w:r>
              <w:rPr>
                <w:rFonts w:ascii="Times New Roman" w:hAnsi="Times New Roman"/>
                <w:sz w:val="24"/>
                <w:highlight w:val="none"/>
              </w:rPr>
              <w:t>公司视作</w:t>
            </w:r>
            <w:r>
              <w:rPr>
                <w:rFonts w:hint="eastAsia" w:ascii="Times New Roman" w:hAnsi="Times New Roman"/>
                <w:sz w:val="24"/>
                <w:highlight w:val="none"/>
                <w:lang w:eastAsia="zh-CN"/>
              </w:rPr>
              <w:t>响应单位</w:t>
            </w:r>
            <w:r>
              <w:rPr>
                <w:rFonts w:ascii="Times New Roman" w:hAnsi="Times New Roman"/>
                <w:sz w:val="24"/>
                <w:highlight w:val="none"/>
              </w:rPr>
              <w:t>已考虑让利，费用不予增加。</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提交的报价不应有选择性报价或具有附加条件的报价</w:t>
            </w:r>
            <w:r>
              <w:rPr>
                <w:rFonts w:hint="eastAsia" w:ascii="Times New Roman" w:hAnsi="Times New Roman"/>
                <w:sz w:val="24"/>
                <w:highlight w:val="none"/>
                <w:lang w:eastAsia="zh-CN"/>
              </w:rPr>
              <w:t>，</w:t>
            </w:r>
            <w:r>
              <w:rPr>
                <w:rFonts w:ascii="Times New Roman" w:hAnsi="Times New Roman"/>
                <w:sz w:val="24"/>
                <w:highlight w:val="none"/>
              </w:rPr>
              <w:t>如出现以下情况（包括但不限于以下几种），则</w:t>
            </w:r>
            <w:r>
              <w:rPr>
                <w:rFonts w:hint="eastAsia" w:ascii="Times New Roman" w:hAnsi="Times New Roman"/>
                <w:sz w:val="24"/>
                <w:highlight w:val="none"/>
                <w:lang w:eastAsia="zh-CN"/>
              </w:rPr>
              <w:t>响应文件</w:t>
            </w:r>
            <w:r>
              <w:rPr>
                <w:rFonts w:ascii="Times New Roman" w:hAnsi="Times New Roman"/>
                <w:sz w:val="24"/>
                <w:highlight w:val="none"/>
              </w:rPr>
              <w:t>将被否决：</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ascii="Times New Roman" w:hAnsi="Times New Roman"/>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）若中标，则将在报价基础上降价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）若中标某几个项目，则这几个项目将在报价基础上降价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7</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其他商务要求</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宋体" w:hAnsi="宋体" w:eastAsia="宋体"/>
                <w:sz w:val="24"/>
                <w:highlight w:val="none"/>
                <w:lang w:val="en-US" w:eastAsia="zh-CN"/>
              </w:rPr>
            </w:pPr>
            <w:r>
              <w:rPr>
                <w:rFonts w:hint="eastAsia" w:ascii="宋体" w:hAnsi="宋体"/>
                <w:sz w:val="24"/>
                <w:highlight w:val="none"/>
                <w:lang w:val="en-US" w:eastAsia="zh-CN"/>
              </w:rPr>
              <w:t>1.在签署本项目合同及履行本项目义务时无任何法律障碍和重大事件影响供应商继续正常存续和全面履行本项目合同的能力，未被列入全国失信被执行人名单，披露正在审理或执行完毕的标的金额大于500万人民币（含本数）的重大诉讼、仲裁、索赔、行政复议或行政处罚。</w:t>
            </w:r>
          </w:p>
        </w:tc>
      </w:tr>
    </w:tbl>
    <w:p>
      <w:pPr>
        <w:keepNext w:val="0"/>
        <w:keepLines w:val="0"/>
        <w:pageBreakBefore w:val="0"/>
        <w:kinsoku/>
        <w:overflowPunct/>
        <w:topLinePunct w:val="0"/>
        <w:bidi w:val="0"/>
        <w:textAlignment w:val="auto"/>
        <w:outlineLvl w:val="9"/>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End w:id="9"/>
      <w:bookmarkStart w:id="14" w:name="_Toc28157_WPSOffice_Level1"/>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4"/>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kinsoku/>
        <w:overflowPunct/>
        <w:topLinePunct w:val="0"/>
        <w:bidi w:val="0"/>
        <w:textAlignment w:val="auto"/>
        <w:outlineLvl w:val="9"/>
        <w:rPr>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ascii="宋体" w:hAnsi="宋体"/>
          <w:b/>
          <w:bCs/>
          <w:szCs w:val="21"/>
          <w:highlight w:val="none"/>
          <w:lang w:val="en-US" w:eastAsia="zh-CN"/>
        </w:rPr>
      </w:pPr>
      <w:r>
        <w:rPr>
          <w:rFonts w:hint="eastAsia" w:ascii="宋体" w:hAnsi="宋体"/>
          <w:b/>
          <w:bCs/>
          <w:szCs w:val="21"/>
          <w:highlight w:val="none"/>
          <w:lang w:val="en-US" w:eastAsia="zh-CN"/>
        </w:rPr>
        <w:t>*1、服务范围</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宋体" w:hAnsi="宋体"/>
          <w:szCs w:val="21"/>
          <w:highlight w:val="none"/>
          <w:lang w:val="en-US" w:eastAsia="zh-CN"/>
        </w:rPr>
      </w:pPr>
      <w:r>
        <w:rPr>
          <w:rFonts w:hint="eastAsia" w:ascii="宋体" w:hAnsi="宋体"/>
          <w:szCs w:val="21"/>
          <w:highlight w:val="none"/>
          <w:lang w:val="en-US" w:eastAsia="zh-CN"/>
        </w:rPr>
        <w:t>距离上海飞机客户服务有限公司直线距离约15公里。</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default" w:ascii="宋体" w:hAnsi="宋体"/>
          <w:b/>
          <w:bCs/>
          <w:szCs w:val="21"/>
          <w:highlight w:val="none"/>
          <w:lang w:val="en-US" w:eastAsia="zh-CN"/>
        </w:rPr>
      </w:pPr>
      <w:r>
        <w:rPr>
          <w:rFonts w:hint="eastAsia" w:ascii="宋体" w:hAnsi="宋体"/>
          <w:b/>
          <w:bCs/>
          <w:szCs w:val="21"/>
          <w:highlight w:val="none"/>
          <w:lang w:val="en-US" w:eastAsia="zh-CN"/>
        </w:rPr>
        <w:t>*2、库房要求</w:t>
      </w:r>
    </w:p>
    <w:p>
      <w:pPr>
        <w:keepNext w:val="0"/>
        <w:keepLines w:val="0"/>
        <w:pageBreakBefore w:val="0"/>
        <w:widowControl w:val="0"/>
        <w:numPr>
          <w:ilvl w:val="0"/>
          <w:numId w:val="16"/>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宋体" w:hAnsi="宋体"/>
          <w:szCs w:val="21"/>
          <w:highlight w:val="none"/>
          <w:lang w:val="en-US" w:eastAsia="zh-CN"/>
        </w:rPr>
      </w:pPr>
      <w:r>
        <w:rPr>
          <w:rFonts w:hint="eastAsia" w:ascii="宋体" w:hAnsi="宋体"/>
          <w:szCs w:val="21"/>
          <w:highlight w:val="none"/>
          <w:lang w:val="en-US" w:eastAsia="zh-CN"/>
        </w:rPr>
        <w:t>该库房为独立库区；</w:t>
      </w:r>
    </w:p>
    <w:p>
      <w:pPr>
        <w:keepNext w:val="0"/>
        <w:keepLines w:val="0"/>
        <w:pageBreakBefore w:val="0"/>
        <w:widowControl w:val="0"/>
        <w:numPr>
          <w:ilvl w:val="0"/>
          <w:numId w:val="16"/>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szCs w:val="21"/>
          <w:highlight w:val="none"/>
          <w:lang w:val="en-US" w:eastAsia="zh-CN"/>
        </w:rPr>
      </w:pPr>
      <w:r>
        <w:rPr>
          <w:rFonts w:hint="eastAsia" w:ascii="宋体" w:hAnsi="宋体"/>
          <w:szCs w:val="21"/>
          <w:highlight w:val="none"/>
          <w:lang w:val="en-US" w:eastAsia="zh-CN"/>
        </w:rPr>
        <w:t>库房至少有一扇卷帘门高度≥6米，宽度≥4.5米；</w:t>
      </w:r>
    </w:p>
    <w:p>
      <w:pPr>
        <w:keepNext w:val="0"/>
        <w:keepLines w:val="0"/>
        <w:pageBreakBefore w:val="0"/>
        <w:widowControl w:val="0"/>
        <w:numPr>
          <w:ilvl w:val="0"/>
          <w:numId w:val="16"/>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szCs w:val="21"/>
          <w:highlight w:val="none"/>
          <w:lang w:val="en-US" w:eastAsia="zh-CN"/>
        </w:rPr>
      </w:pPr>
      <w:r>
        <w:rPr>
          <w:rFonts w:hint="eastAsia" w:ascii="宋体" w:hAnsi="宋体"/>
          <w:szCs w:val="21"/>
          <w:highlight w:val="none"/>
          <w:lang w:val="en-US" w:eastAsia="zh-CN"/>
        </w:rPr>
        <w:t>库房外场地可供17米长的平板货车或10吨叉车调头、卸货；</w:t>
      </w:r>
    </w:p>
    <w:p>
      <w:pPr>
        <w:keepNext w:val="0"/>
        <w:keepLines w:val="0"/>
        <w:pageBreakBefore w:val="0"/>
        <w:widowControl w:val="0"/>
        <w:numPr>
          <w:ilvl w:val="0"/>
          <w:numId w:val="16"/>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szCs w:val="21"/>
          <w:highlight w:val="none"/>
          <w:lang w:val="en-US" w:eastAsia="zh-CN"/>
        </w:rPr>
      </w:pPr>
      <w:r>
        <w:rPr>
          <w:rFonts w:hint="eastAsia" w:ascii="宋体" w:hAnsi="宋体"/>
          <w:szCs w:val="21"/>
          <w:highlight w:val="none"/>
          <w:lang w:val="en-US" w:eastAsia="zh-CN"/>
        </w:rPr>
        <w:t>库房所在园区需配备保安；</w:t>
      </w:r>
    </w:p>
    <w:p>
      <w:pPr>
        <w:numPr>
          <w:ilvl w:val="0"/>
          <w:numId w:val="16"/>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eastAsia" w:ascii="宋体" w:hAnsi="宋体"/>
          <w:b w:val="0"/>
          <w:kern w:val="2"/>
          <w:sz w:val="21"/>
          <w:szCs w:val="21"/>
          <w:highlight w:val="none"/>
          <w:lang w:val="en-US" w:eastAsia="zh-CN"/>
        </w:rPr>
      </w:pPr>
      <w:r>
        <w:rPr>
          <w:rFonts w:hint="eastAsia" w:ascii="宋体" w:hAnsi="宋体"/>
          <w:szCs w:val="21"/>
          <w:highlight w:val="none"/>
          <w:lang w:val="en-US" w:eastAsia="zh-CN"/>
        </w:rPr>
        <w:t>可实现30%-80%的湿度控制；</w:t>
      </w:r>
    </w:p>
    <w:p>
      <w:pPr>
        <w:numPr>
          <w:ilvl w:val="0"/>
          <w:numId w:val="16"/>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eastAsia"/>
          <w:lang w:val="en-US" w:eastAsia="zh-CN"/>
        </w:rPr>
      </w:pPr>
      <w:r>
        <w:rPr>
          <w:rFonts w:hint="eastAsia" w:ascii="宋体" w:hAnsi="宋体"/>
          <w:b w:val="0"/>
          <w:kern w:val="2"/>
          <w:sz w:val="21"/>
          <w:szCs w:val="21"/>
          <w:highlight w:val="none"/>
          <w:lang w:val="en-US" w:eastAsia="zh-CN"/>
        </w:rPr>
        <w:t>租赁面积：2000-2500平方米；</w:t>
      </w:r>
    </w:p>
    <w:p>
      <w:pPr>
        <w:numPr>
          <w:ilvl w:val="0"/>
          <w:numId w:val="16"/>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库区及设施设备的日常维修、垃圾清运；</w:t>
      </w:r>
    </w:p>
    <w:p>
      <w:pPr>
        <w:numPr>
          <w:ilvl w:val="0"/>
          <w:numId w:val="16"/>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出租部位：1楼。</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ascii="宋体" w:hAnsi="宋体"/>
          <w:b/>
          <w:bCs/>
          <w:szCs w:val="21"/>
          <w:highlight w:val="none"/>
          <w:lang w:val="en-US" w:eastAsia="zh-CN"/>
        </w:rPr>
      </w:pPr>
      <w:r>
        <w:rPr>
          <w:rFonts w:hint="eastAsia" w:ascii="宋体" w:hAnsi="宋体"/>
          <w:b/>
          <w:bCs/>
          <w:szCs w:val="21"/>
          <w:highlight w:val="none"/>
          <w:lang w:val="en-US" w:eastAsia="zh-CN"/>
        </w:rPr>
        <w:t>*3、配套设施</w:t>
      </w:r>
    </w:p>
    <w:p>
      <w:pPr>
        <w:keepNext w:val="0"/>
        <w:keepLines w:val="0"/>
        <w:pageBreakBefore w:val="0"/>
        <w:widowControl w:val="0"/>
        <w:numPr>
          <w:ilvl w:val="0"/>
          <w:numId w:val="17"/>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库房配备大功率除湿机；</w:t>
      </w:r>
    </w:p>
    <w:p>
      <w:pPr>
        <w:keepNext w:val="0"/>
        <w:keepLines w:val="0"/>
        <w:pageBreakBefore w:val="0"/>
        <w:widowControl w:val="0"/>
        <w:numPr>
          <w:ilvl w:val="0"/>
          <w:numId w:val="17"/>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配备足够的消防设施，包括6支灭火器、2个消防栓、消防喷淋系统等；</w:t>
      </w:r>
    </w:p>
    <w:p>
      <w:pPr>
        <w:keepNext w:val="0"/>
        <w:keepLines w:val="0"/>
        <w:pageBreakBefore w:val="0"/>
        <w:widowControl w:val="0"/>
        <w:numPr>
          <w:ilvl w:val="0"/>
          <w:numId w:val="17"/>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仓库应处于可监控状态，每个独立库房都需配备4个监控摄像头及对应的监控设备；</w:t>
      </w:r>
    </w:p>
    <w:p>
      <w:pPr>
        <w:keepNext w:val="0"/>
        <w:keepLines w:val="0"/>
        <w:pageBreakBefore w:val="0"/>
        <w:widowControl w:val="0"/>
        <w:numPr>
          <w:ilvl w:val="0"/>
          <w:numId w:val="17"/>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办公桌椅一套；</w:t>
      </w:r>
    </w:p>
    <w:p>
      <w:pPr>
        <w:numPr>
          <w:ilvl w:val="0"/>
          <w:numId w:val="17"/>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ascii="宋体" w:hAnsi="宋体"/>
          <w:b w:val="0"/>
          <w:bCs w:val="0"/>
          <w:szCs w:val="21"/>
          <w:highlight w:val="none"/>
          <w:lang w:val="en-US" w:eastAsia="zh-CN"/>
        </w:rPr>
        <w:t>温湿度计1个；</w:t>
      </w:r>
    </w:p>
    <w:p>
      <w:pPr>
        <w:numPr>
          <w:ilvl w:val="0"/>
          <w:numId w:val="17"/>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照明设施满足日常使用需求；</w:t>
      </w:r>
    </w:p>
    <w:p>
      <w:pPr>
        <w:numPr>
          <w:ilvl w:val="0"/>
          <w:numId w:val="17"/>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供电安全、稳定，无安全隐患且能满足本文件内提到的配套设施使用电量。</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ascii="宋体" w:hAnsi="宋体"/>
          <w:b/>
          <w:bCs/>
          <w:szCs w:val="21"/>
          <w:highlight w:val="none"/>
          <w:lang w:val="en-US" w:eastAsia="zh-CN"/>
        </w:rPr>
      </w:pPr>
      <w:r>
        <w:rPr>
          <w:rFonts w:hint="eastAsia" w:ascii="宋体" w:hAnsi="宋体"/>
          <w:b/>
          <w:bCs/>
          <w:szCs w:val="21"/>
          <w:highlight w:val="none"/>
          <w:lang w:val="en-US" w:eastAsia="zh-CN"/>
        </w:rPr>
        <w:t>*4、交付时间</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hint="eastAsia" w:ascii="宋体" w:hAnsi="宋体"/>
          <w:b w:val="0"/>
          <w:bCs w:val="0"/>
          <w:szCs w:val="21"/>
          <w:highlight w:val="none"/>
          <w:lang w:val="en-US" w:eastAsia="zh-CN"/>
        </w:rPr>
        <w:t>签订合同之日起10个工作日内完成交付。</w:t>
      </w:r>
      <w:r>
        <w:rPr>
          <w:rFonts w:ascii="宋体" w:hAnsi="宋体"/>
          <w:szCs w:val="21"/>
          <w:highlight w:val="none"/>
        </w:rPr>
        <w:br w:type="page"/>
      </w:r>
      <w:bookmarkEnd w:id="10"/>
      <w:bookmarkStart w:id="15" w:name="_Toc7733_WPSOffice_Level1"/>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GSE库房租赁项目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采购文件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90</w:t>
      </w:r>
      <w:r>
        <w:rPr>
          <w:rFonts w:ascii="宋体" w:hAnsi="宋体"/>
          <w:highlight w:val="none"/>
          <w:u w:val="single"/>
        </w:rPr>
        <w:t>个日历天</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16" w:name="_Hlk35922021"/>
      <w:r>
        <w:rPr>
          <w:rFonts w:hint="eastAsia" w:ascii="黑体" w:hAnsi="宋体" w:eastAsia="黑体"/>
          <w:sz w:val="30"/>
          <w:szCs w:val="30"/>
          <w:highlight w:val="none"/>
          <w:lang w:val="en-US" w:eastAsia="zh-CN"/>
        </w:rPr>
        <w:t>二、</w:t>
      </w:r>
      <w:bookmarkEnd w:id="16"/>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32"/>
        <w:tblW w:w="10129"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3558"/>
        <w:gridCol w:w="1558"/>
        <w:gridCol w:w="1590"/>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序号</w:t>
            </w:r>
          </w:p>
        </w:tc>
        <w:tc>
          <w:tcPr>
            <w:tcW w:w="355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hAnsi="宋体" w:cs="宋体"/>
                <w:highlight w:val="none"/>
                <w:lang w:eastAsia="zh-CN"/>
              </w:rPr>
              <w:t>服务项目</w:t>
            </w:r>
          </w:p>
        </w:tc>
        <w:tc>
          <w:tcPr>
            <w:tcW w:w="1558"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ighlight w:val="none"/>
                <w:lang w:val="en-US" w:eastAsia="zh-CN"/>
              </w:rPr>
            </w:pPr>
            <w:r>
              <w:rPr>
                <w:rFonts w:hint="eastAsia" w:ascii="宋体"/>
                <w:highlight w:val="none"/>
                <w:lang w:val="en-US" w:eastAsia="zh-CN"/>
              </w:rPr>
              <w:t>单价（含税）</w:t>
            </w:r>
          </w:p>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（元/平米/年）</w:t>
            </w:r>
          </w:p>
        </w:tc>
        <w:tc>
          <w:tcPr>
            <w:tcW w:w="1590"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ighlight w:val="none"/>
                <w:lang w:val="en-US" w:eastAsia="zh-CN"/>
              </w:rPr>
            </w:pPr>
            <w:r>
              <w:rPr>
                <w:rFonts w:hint="eastAsia" w:ascii="宋体"/>
                <w:highlight w:val="none"/>
                <w:lang w:val="en-US" w:eastAsia="zh-CN"/>
              </w:rPr>
              <w:t>合价（含税）</w:t>
            </w:r>
          </w:p>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ighlight w:val="none"/>
                <w:lang w:val="en-US" w:eastAsia="zh-CN"/>
              </w:rPr>
            </w:pPr>
            <w:r>
              <w:rPr>
                <w:rFonts w:hint="eastAsia" w:ascii="宋体"/>
                <w:highlight w:val="none"/>
                <w:lang w:val="en-US" w:eastAsia="zh-CN"/>
              </w:rPr>
              <w:t>（元/平米/年）</w:t>
            </w:r>
          </w:p>
        </w:tc>
        <w:tc>
          <w:tcPr>
            <w:tcW w:w="1943"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rPr>
            </w:pPr>
            <w:r>
              <w:rPr>
                <w:rFonts w:hint="eastAsia" w:ascii="宋体" w:hAnsi="宋体" w:cs="宋体"/>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1</w:t>
            </w:r>
          </w:p>
        </w:tc>
        <w:tc>
          <w:tcPr>
            <w:tcW w:w="3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仓库租赁费</w:t>
            </w: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59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3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59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eastAsia="宋体" w:cs="宋体"/>
                <w:highlight w:val="none"/>
                <w:lang w:val="en-US" w:eastAsia="zh-CN"/>
              </w:rPr>
            </w:pPr>
          </w:p>
        </w:tc>
        <w:tc>
          <w:tcPr>
            <w:tcW w:w="3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highlight w:val="none"/>
                <w:lang w:val="en-US" w:eastAsia="zh-CN"/>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59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hAnsi="宋体" w:cs="宋体"/>
                <w:highlight w:val="none"/>
                <w:lang w:val="en-US" w:eastAsia="zh-CN"/>
              </w:rPr>
            </w:pPr>
          </w:p>
        </w:tc>
        <w:tc>
          <w:tcPr>
            <w:tcW w:w="3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highlight w:val="none"/>
                <w:lang w:val="en-US" w:eastAsia="zh-CN"/>
              </w:rPr>
            </w:pPr>
          </w:p>
        </w:tc>
        <w:tc>
          <w:tcPr>
            <w:tcW w:w="1558" w:type="dxa"/>
            <w:tcBorders>
              <w:top w:val="single" w:color="auto" w:sz="6" w:space="0"/>
              <w:left w:val="single" w:color="auto" w:sz="6" w:space="0"/>
              <w:bottom w:val="single" w:color="auto" w:sz="6" w:space="0"/>
              <w:right w:val="single" w:color="auto" w:sz="4" w:space="0"/>
            </w:tcBorders>
            <w:vAlign w:val="center"/>
          </w:tcPr>
          <w:p/>
        </w:tc>
        <w:tc>
          <w:tcPr>
            <w:tcW w:w="1590" w:type="dxa"/>
            <w:tcBorders>
              <w:top w:val="single" w:color="auto" w:sz="6" w:space="0"/>
              <w:left w:val="single" w:color="auto" w:sz="6" w:space="0"/>
              <w:bottom w:val="single" w:color="auto" w:sz="6" w:space="0"/>
              <w:right w:val="single" w:color="auto" w:sz="4" w:space="0"/>
            </w:tcBorders>
            <w:vAlign w:val="center"/>
          </w:tc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3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59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总报价</w:t>
            </w:r>
          </w:p>
        </w:tc>
        <w:tc>
          <w:tcPr>
            <w:tcW w:w="8649" w:type="dxa"/>
            <w:gridSpan w:val="4"/>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ascii="宋体"/>
                <w:highlight w:val="none"/>
              </w:rPr>
            </w:pPr>
            <w:r>
              <w:rPr>
                <w:rFonts w:hint="eastAsia" w:ascii="宋体" w:hAnsi="宋体" w:cs="宋体"/>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05" w:firstLineChars="50"/>
              <w:jc w:val="left"/>
              <w:textAlignment w:val="auto"/>
              <w:outlineLvl w:val="9"/>
              <w:rPr>
                <w:rFonts w:ascii="宋体"/>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0129" w:type="dxa"/>
            <w:gridSpan w:val="5"/>
            <w:tcBorders>
              <w:top w:val="single" w:color="auto" w:sz="6" w:space="0"/>
              <w:left w:val="double" w:color="auto" w:sz="4" w:space="0"/>
              <w:bottom w:val="double" w:color="auto" w:sz="4"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宋体"/>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highlight w:val="none"/>
        </w:rPr>
        <w:sectPr>
          <w:pgSz w:w="11906" w:h="16838"/>
          <w:pgMar w:top="1803" w:right="1440" w:bottom="1803" w:left="1440" w:header="851" w:footer="992" w:gutter="0"/>
          <w:cols w:space="720" w:num="1"/>
          <w:rtlGutter w:val="0"/>
          <w:docGrid w:linePitch="315" w:charSpace="0"/>
        </w:sectPr>
      </w:pPr>
      <w:r>
        <w:rPr>
          <w:rFonts w:ascii="宋体" w:hAnsi="宋体"/>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17"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GSE库房租赁      </w:t>
      </w:r>
      <w:r>
        <w:rPr>
          <w:rFonts w:hint="eastAsia" w:ascii="宋体" w:hAnsi="宋体"/>
          <w:sz w:val="24"/>
          <w:szCs w:val="24"/>
          <w:highlight w:val="none"/>
          <w:u w:val="none"/>
          <w:lang w:eastAsia="zh-CN"/>
        </w:rPr>
        <w:t>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17"/>
    </w:p>
    <w:p>
      <w:pPr>
        <w:keepNext w:val="0"/>
        <w:keepLines w:val="0"/>
        <w:pageBreakBefore w:val="0"/>
        <w:kinsoku/>
        <w:overflowPunct/>
        <w:topLinePunct w:val="0"/>
        <w:autoSpaceDE/>
        <w:autoSpaceDN/>
        <w:bidi w:val="0"/>
        <w:spacing w:line="300" w:lineRule="auto"/>
        <w:ind w:right="420"/>
        <w:jc w:val="center"/>
        <w:textAlignment w:val="auto"/>
        <w:outlineLvl w:val="9"/>
        <w:rPr>
          <w:rFonts w:hint="eastAsia" w:ascii="宋体" w:hAnsi="宋体"/>
          <w:sz w:val="24"/>
          <w:szCs w:val="24"/>
          <w:highlight w:val="none"/>
          <w:lang w:eastAsia="zh-CN"/>
        </w:rPr>
      </w:pPr>
      <w:r>
        <w:rPr>
          <w:rFonts w:ascii="宋体" w:hAnsi="宋体"/>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项目名称：</w:t>
      </w:r>
      <w:r>
        <w:rPr>
          <w:rFonts w:hint="eastAsia" w:ascii="仿宋_GB2312"/>
          <w:szCs w:val="32"/>
          <w:highlight w:val="none"/>
          <w:lang w:val="en-US" w:eastAsia="zh-CN"/>
        </w:rPr>
        <w:t>GSE库房租赁</w:t>
      </w:r>
      <w:r>
        <w:rPr>
          <w:rFonts w:hint="eastAsia" w:ascii="仿宋_GB2312"/>
          <w:szCs w:val="32"/>
          <w:highlight w:val="none"/>
        </w:rPr>
        <w:t xml:space="preserve">                                     </w:t>
      </w:r>
    </w:p>
    <w:p>
      <w:pPr>
        <w:snapToGrid w:val="0"/>
        <w:spacing w:line="560" w:lineRule="exact"/>
        <w:rPr>
          <w:rFonts w:hint="eastAsia" w:ascii="仿宋_GB2312" w:eastAsia="宋体"/>
          <w:szCs w:val="32"/>
          <w:highlight w:val="none"/>
          <w:lang w:val="en-US" w:eastAsia="zh-CN"/>
        </w:rPr>
      </w:pPr>
      <w:bookmarkStart w:id="18" w:name="_Toc11907_WPSOffice_Level1"/>
      <w:bookmarkStart w:id="19" w:name="_Toc26253_WPSOffice_Level1"/>
      <w:bookmarkStart w:id="20" w:name="_Toc11341_WPSOffice_Level1"/>
      <w:r>
        <w:rPr>
          <w:rFonts w:hint="eastAsia" w:ascii="仿宋_GB2312"/>
          <w:szCs w:val="32"/>
          <w:highlight w:val="none"/>
        </w:rPr>
        <w:t>甲  方：</w:t>
      </w:r>
      <w:bookmarkEnd w:id="18"/>
      <w:bookmarkEnd w:id="19"/>
      <w:bookmarkEnd w:id="20"/>
      <w:r>
        <w:rPr>
          <w:rFonts w:hint="eastAsia" w:ascii="仿宋_GB2312"/>
          <w:szCs w:val="32"/>
          <w:highlight w:val="none"/>
          <w:lang w:val="en-US" w:eastAsia="zh-CN"/>
        </w:rPr>
        <w:t>上海飞机客户服务有限公司</w:t>
      </w:r>
    </w:p>
    <w:p>
      <w:pPr>
        <w:snapToGrid w:val="0"/>
        <w:spacing w:line="560" w:lineRule="exact"/>
        <w:rPr>
          <w:rFonts w:ascii="仿宋_GB2312"/>
          <w:szCs w:val="32"/>
          <w:highlight w:val="none"/>
        </w:rPr>
      </w:pPr>
      <w:bookmarkStart w:id="21" w:name="_Toc31341_WPSOffice_Level1"/>
      <w:bookmarkStart w:id="22" w:name="_Toc25445_WPSOffice_Level1"/>
      <w:bookmarkStart w:id="23" w:name="_Toc27021_WPSOffice_Level1"/>
      <w:r>
        <w:rPr>
          <w:rFonts w:hint="eastAsia" w:ascii="仿宋_GB2312"/>
          <w:szCs w:val="32"/>
          <w:highlight w:val="none"/>
        </w:rPr>
        <w:t>乙  方：</w:t>
      </w:r>
      <w:bookmarkEnd w:id="21"/>
      <w:bookmarkEnd w:id="22"/>
      <w:bookmarkEnd w:id="23"/>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宋体" w:hAnsi="宋体"/>
          <w:sz w:val="24"/>
          <w:szCs w:val="24"/>
          <w:highlight w:val="none"/>
          <w:u w:val="none"/>
          <w:lang w:val="en-US" w:eastAsia="zh-CN"/>
        </w:rPr>
        <w:t>本</w:t>
      </w:r>
      <w:r>
        <w:rPr>
          <w:rFonts w:hint="eastAsia" w:ascii="宋体" w:hAnsi="宋体"/>
          <w:sz w:val="24"/>
          <w:szCs w:val="24"/>
          <w:highlight w:val="none"/>
          <w:u w:val="none"/>
          <w:lang w:eastAsia="zh-CN"/>
        </w:rPr>
        <w:t>合同的附件，具有与其同等的法律效力。</w:t>
      </w:r>
    </w:p>
    <w:sectPr>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9B3668D3"/>
    <w:multiLevelType w:val="singleLevel"/>
    <w:tmpl w:val="9B3668D3"/>
    <w:lvl w:ilvl="0" w:tentative="0">
      <w:start w:val="1"/>
      <w:numFmt w:val="decimal"/>
      <w:suff w:val="nothing"/>
      <w:lvlText w:val="（%1）"/>
      <w:lvlJc w:val="left"/>
    </w:lvl>
  </w:abstractNum>
  <w:abstractNum w:abstractNumId="4">
    <w:nsid w:val="A081329F"/>
    <w:multiLevelType w:val="singleLevel"/>
    <w:tmpl w:val="A081329F"/>
    <w:lvl w:ilvl="0" w:tentative="0">
      <w:start w:val="1"/>
      <w:numFmt w:val="decimal"/>
      <w:lvlText w:val="%1)"/>
      <w:lvlJc w:val="left"/>
      <w:pPr>
        <w:ind w:left="425" w:hanging="425"/>
      </w:pPr>
      <w:rPr>
        <w:rFonts w:hint="default"/>
      </w:rPr>
    </w:lvl>
  </w:abstractNum>
  <w:abstractNum w:abstractNumId="5">
    <w:nsid w:val="AC252D41"/>
    <w:multiLevelType w:val="singleLevel"/>
    <w:tmpl w:val="AC252D41"/>
    <w:lvl w:ilvl="0" w:tentative="0">
      <w:start w:val="1"/>
      <w:numFmt w:val="decimal"/>
      <w:lvlText w:val="%1)"/>
      <w:lvlJc w:val="left"/>
      <w:pPr>
        <w:ind w:left="425" w:hanging="425"/>
      </w:pPr>
      <w:rPr>
        <w:rFonts w:hint="default"/>
      </w:rPr>
    </w:lvl>
  </w:abstractNum>
  <w:abstractNum w:abstractNumId="6">
    <w:nsid w:val="B38B9825"/>
    <w:multiLevelType w:val="singleLevel"/>
    <w:tmpl w:val="B38B9825"/>
    <w:lvl w:ilvl="0" w:tentative="0">
      <w:start w:val="1"/>
      <w:numFmt w:val="lowerLetter"/>
      <w:lvlText w:val="%1."/>
      <w:lvlJc w:val="left"/>
      <w:pPr>
        <w:ind w:left="425" w:hanging="425"/>
      </w:pPr>
      <w:rPr>
        <w:rFonts w:hint="default"/>
      </w:rPr>
    </w:lvl>
  </w:abstractNum>
  <w:abstractNum w:abstractNumId="7">
    <w:nsid w:val="D57742C5"/>
    <w:multiLevelType w:val="singleLevel"/>
    <w:tmpl w:val="D57742C5"/>
    <w:lvl w:ilvl="0" w:tentative="0">
      <w:start w:val="1"/>
      <w:numFmt w:val="decimal"/>
      <w:suff w:val="nothing"/>
      <w:lvlText w:val="（%1）"/>
      <w:lvlJc w:val="left"/>
    </w:lvl>
  </w:abstractNum>
  <w:abstractNum w:abstractNumId="8">
    <w:nsid w:val="EECD0AED"/>
    <w:multiLevelType w:val="singleLevel"/>
    <w:tmpl w:val="EECD0AED"/>
    <w:lvl w:ilvl="0" w:tentative="0">
      <w:start w:val="1"/>
      <w:numFmt w:val="decimal"/>
      <w:suff w:val="nothing"/>
      <w:lvlText w:val="（%1）"/>
      <w:lvlJc w:val="left"/>
    </w:lvl>
  </w:abstractNum>
  <w:abstractNum w:abstractNumId="9">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0">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1">
    <w:nsid w:val="323DA0C3"/>
    <w:multiLevelType w:val="singleLevel"/>
    <w:tmpl w:val="323DA0C3"/>
    <w:lvl w:ilvl="0" w:tentative="0">
      <w:start w:val="1"/>
      <w:numFmt w:val="decimal"/>
      <w:suff w:val="nothing"/>
      <w:lvlText w:val="%1）"/>
      <w:lvlJc w:val="left"/>
    </w:lvl>
  </w:abstractNum>
  <w:abstractNum w:abstractNumId="12">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3">
    <w:nsid w:val="5BE9E2F8"/>
    <w:multiLevelType w:val="singleLevel"/>
    <w:tmpl w:val="5BE9E2F8"/>
    <w:lvl w:ilvl="0" w:tentative="0">
      <w:start w:val="1"/>
      <w:numFmt w:val="lowerLetter"/>
      <w:lvlText w:val="%1."/>
      <w:lvlJc w:val="left"/>
      <w:pPr>
        <w:ind w:left="425" w:hanging="425"/>
      </w:pPr>
      <w:rPr>
        <w:rFonts w:hint="default"/>
      </w:rPr>
    </w:lvl>
  </w:abstractNum>
  <w:abstractNum w:abstractNumId="14">
    <w:nsid w:val="7318D1E3"/>
    <w:multiLevelType w:val="singleLevel"/>
    <w:tmpl w:val="7318D1E3"/>
    <w:lvl w:ilvl="0" w:tentative="0">
      <w:start w:val="1"/>
      <w:numFmt w:val="decimal"/>
      <w:suff w:val="nothing"/>
      <w:lvlText w:val="（%1）"/>
      <w:lvlJc w:val="left"/>
    </w:lvl>
  </w:abstractNum>
  <w:abstractNum w:abstractNumId="15">
    <w:nsid w:val="748CE7CD"/>
    <w:multiLevelType w:val="singleLevel"/>
    <w:tmpl w:val="748CE7CD"/>
    <w:lvl w:ilvl="0" w:tentative="0">
      <w:start w:val="1"/>
      <w:numFmt w:val="decimal"/>
      <w:suff w:val="nothing"/>
      <w:lvlText w:val="（%1）"/>
      <w:lvlJc w:val="left"/>
    </w:lvl>
  </w:abstractNum>
  <w:abstractNum w:abstractNumId="16">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16"/>
  </w:num>
  <w:num w:numId="4">
    <w:abstractNumId w:val="1"/>
  </w:num>
  <w:num w:numId="5">
    <w:abstractNumId w:val="0"/>
  </w:num>
  <w:num w:numId="6">
    <w:abstractNumId w:val="4"/>
  </w:num>
  <w:num w:numId="7">
    <w:abstractNumId w:val="12"/>
  </w:num>
  <w:num w:numId="8">
    <w:abstractNumId w:val="11"/>
  </w:num>
  <w:num w:numId="9">
    <w:abstractNumId w:val="14"/>
  </w:num>
  <w:num w:numId="10">
    <w:abstractNumId w:val="8"/>
  </w:num>
  <w:num w:numId="11">
    <w:abstractNumId w:val="10"/>
  </w:num>
  <w:num w:numId="12">
    <w:abstractNumId w:val="13"/>
  </w:num>
  <w:num w:numId="13">
    <w:abstractNumId w:val="6"/>
  </w:num>
  <w:num w:numId="14">
    <w:abstractNumId w:val="9"/>
  </w:num>
  <w:num w:numId="15">
    <w:abstractNumId w:val="7"/>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3470C7"/>
    <w:rsid w:val="04500139"/>
    <w:rsid w:val="051D437B"/>
    <w:rsid w:val="05CE08B1"/>
    <w:rsid w:val="06137317"/>
    <w:rsid w:val="0621036A"/>
    <w:rsid w:val="065E5F7F"/>
    <w:rsid w:val="0670360C"/>
    <w:rsid w:val="067C4E90"/>
    <w:rsid w:val="069275E1"/>
    <w:rsid w:val="06A12A56"/>
    <w:rsid w:val="06EC34E9"/>
    <w:rsid w:val="06F517F0"/>
    <w:rsid w:val="0704425F"/>
    <w:rsid w:val="071C7C62"/>
    <w:rsid w:val="072169D1"/>
    <w:rsid w:val="08DB2CD5"/>
    <w:rsid w:val="090C4141"/>
    <w:rsid w:val="091B523C"/>
    <w:rsid w:val="09381A80"/>
    <w:rsid w:val="096762D6"/>
    <w:rsid w:val="0A005A35"/>
    <w:rsid w:val="0A3F657B"/>
    <w:rsid w:val="0A5E508E"/>
    <w:rsid w:val="0AC804D8"/>
    <w:rsid w:val="0B200E94"/>
    <w:rsid w:val="0B337690"/>
    <w:rsid w:val="0B4B6FA0"/>
    <w:rsid w:val="0B7979E1"/>
    <w:rsid w:val="0B7C5D95"/>
    <w:rsid w:val="0B80309F"/>
    <w:rsid w:val="0BBE4F2B"/>
    <w:rsid w:val="0BDE32ED"/>
    <w:rsid w:val="0C2F504F"/>
    <w:rsid w:val="0CCF37E3"/>
    <w:rsid w:val="0CF2414E"/>
    <w:rsid w:val="0D452B30"/>
    <w:rsid w:val="0D4A7508"/>
    <w:rsid w:val="0D745881"/>
    <w:rsid w:val="0D851897"/>
    <w:rsid w:val="0DAD5CE9"/>
    <w:rsid w:val="0E1516F4"/>
    <w:rsid w:val="0E53500F"/>
    <w:rsid w:val="0E5F17BF"/>
    <w:rsid w:val="0E5F6EAC"/>
    <w:rsid w:val="0F543F79"/>
    <w:rsid w:val="0FB15903"/>
    <w:rsid w:val="0FD57A0D"/>
    <w:rsid w:val="0FE060A8"/>
    <w:rsid w:val="10D66F9B"/>
    <w:rsid w:val="10F94FB7"/>
    <w:rsid w:val="1196301E"/>
    <w:rsid w:val="11A14A23"/>
    <w:rsid w:val="11B240B6"/>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4540C9"/>
    <w:rsid w:val="146174DB"/>
    <w:rsid w:val="148A37E3"/>
    <w:rsid w:val="14A43CE1"/>
    <w:rsid w:val="14C1118B"/>
    <w:rsid w:val="14E019A7"/>
    <w:rsid w:val="14E60E46"/>
    <w:rsid w:val="14E94101"/>
    <w:rsid w:val="14FE36FD"/>
    <w:rsid w:val="15174001"/>
    <w:rsid w:val="156D4456"/>
    <w:rsid w:val="15823B4A"/>
    <w:rsid w:val="16362C78"/>
    <w:rsid w:val="168579CB"/>
    <w:rsid w:val="16BD43DD"/>
    <w:rsid w:val="16DA5A6D"/>
    <w:rsid w:val="17174F31"/>
    <w:rsid w:val="173919BD"/>
    <w:rsid w:val="17756394"/>
    <w:rsid w:val="17A00ACA"/>
    <w:rsid w:val="17D651A8"/>
    <w:rsid w:val="18384C32"/>
    <w:rsid w:val="1856395B"/>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501688"/>
    <w:rsid w:val="1CDE5D4F"/>
    <w:rsid w:val="1D0704D7"/>
    <w:rsid w:val="1D8D48EF"/>
    <w:rsid w:val="1DC460EA"/>
    <w:rsid w:val="1E4D45F2"/>
    <w:rsid w:val="1F3A24AA"/>
    <w:rsid w:val="1F3B72D9"/>
    <w:rsid w:val="1F532FD0"/>
    <w:rsid w:val="202F56BC"/>
    <w:rsid w:val="2036128B"/>
    <w:rsid w:val="203B3F64"/>
    <w:rsid w:val="20446A81"/>
    <w:rsid w:val="20781CFD"/>
    <w:rsid w:val="20BE3894"/>
    <w:rsid w:val="20C04366"/>
    <w:rsid w:val="20C30808"/>
    <w:rsid w:val="20C57325"/>
    <w:rsid w:val="20D91551"/>
    <w:rsid w:val="20F44010"/>
    <w:rsid w:val="21315EC9"/>
    <w:rsid w:val="2163494E"/>
    <w:rsid w:val="2204756D"/>
    <w:rsid w:val="223B4B41"/>
    <w:rsid w:val="224A5AB1"/>
    <w:rsid w:val="2263269E"/>
    <w:rsid w:val="22A07C3A"/>
    <w:rsid w:val="22AE014D"/>
    <w:rsid w:val="22B342AA"/>
    <w:rsid w:val="22EB1946"/>
    <w:rsid w:val="23324E68"/>
    <w:rsid w:val="23464D85"/>
    <w:rsid w:val="239E1CF6"/>
    <w:rsid w:val="23E946FC"/>
    <w:rsid w:val="24121853"/>
    <w:rsid w:val="244C68E1"/>
    <w:rsid w:val="24566371"/>
    <w:rsid w:val="245E1A25"/>
    <w:rsid w:val="24877038"/>
    <w:rsid w:val="24D94F91"/>
    <w:rsid w:val="25125F53"/>
    <w:rsid w:val="25387E72"/>
    <w:rsid w:val="25577ED0"/>
    <w:rsid w:val="259122AC"/>
    <w:rsid w:val="25A227A8"/>
    <w:rsid w:val="26684D52"/>
    <w:rsid w:val="266F50C2"/>
    <w:rsid w:val="269A4248"/>
    <w:rsid w:val="26A92A5C"/>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8B6165"/>
    <w:rsid w:val="2BFF2352"/>
    <w:rsid w:val="2C203ACA"/>
    <w:rsid w:val="2C73418E"/>
    <w:rsid w:val="2C8A4CBD"/>
    <w:rsid w:val="2CA77337"/>
    <w:rsid w:val="2D00520D"/>
    <w:rsid w:val="2D5847BF"/>
    <w:rsid w:val="2D91716B"/>
    <w:rsid w:val="2DC168E5"/>
    <w:rsid w:val="2DD10AC0"/>
    <w:rsid w:val="2DE1186A"/>
    <w:rsid w:val="2DEB6203"/>
    <w:rsid w:val="2E0B037E"/>
    <w:rsid w:val="2E12020E"/>
    <w:rsid w:val="2EEF3774"/>
    <w:rsid w:val="2F9B57AF"/>
    <w:rsid w:val="2FC52E54"/>
    <w:rsid w:val="2FE55C1B"/>
    <w:rsid w:val="2FF15986"/>
    <w:rsid w:val="306F4921"/>
    <w:rsid w:val="3126769E"/>
    <w:rsid w:val="31503526"/>
    <w:rsid w:val="319D46FC"/>
    <w:rsid w:val="31B922F7"/>
    <w:rsid w:val="31F91FD1"/>
    <w:rsid w:val="32002D3D"/>
    <w:rsid w:val="32107124"/>
    <w:rsid w:val="32D42A5C"/>
    <w:rsid w:val="32DA4CC2"/>
    <w:rsid w:val="32DE53BE"/>
    <w:rsid w:val="32E8739E"/>
    <w:rsid w:val="332E1FAC"/>
    <w:rsid w:val="3340083E"/>
    <w:rsid w:val="334208C5"/>
    <w:rsid w:val="335419FA"/>
    <w:rsid w:val="335D4CB2"/>
    <w:rsid w:val="33BD3BA0"/>
    <w:rsid w:val="33F14632"/>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CE6C84"/>
    <w:rsid w:val="3A211E80"/>
    <w:rsid w:val="3A472B36"/>
    <w:rsid w:val="3A8E58C2"/>
    <w:rsid w:val="3AA730B7"/>
    <w:rsid w:val="3AA91E24"/>
    <w:rsid w:val="3AD547A6"/>
    <w:rsid w:val="3AEE09AC"/>
    <w:rsid w:val="3B0A0CCF"/>
    <w:rsid w:val="3B0D4E28"/>
    <w:rsid w:val="3B332D48"/>
    <w:rsid w:val="3B447CE3"/>
    <w:rsid w:val="3BC817D7"/>
    <w:rsid w:val="3BEA4ED6"/>
    <w:rsid w:val="3C4416C7"/>
    <w:rsid w:val="3C5B00D7"/>
    <w:rsid w:val="3C8A0C65"/>
    <w:rsid w:val="3CA70800"/>
    <w:rsid w:val="3CDF48D3"/>
    <w:rsid w:val="3CF64B27"/>
    <w:rsid w:val="3D086998"/>
    <w:rsid w:val="3D163675"/>
    <w:rsid w:val="3D242598"/>
    <w:rsid w:val="3D352A2F"/>
    <w:rsid w:val="3D437C86"/>
    <w:rsid w:val="3DA33CF8"/>
    <w:rsid w:val="3DA574A2"/>
    <w:rsid w:val="3DB06E52"/>
    <w:rsid w:val="3DB45CC8"/>
    <w:rsid w:val="3E020949"/>
    <w:rsid w:val="3E1E32B8"/>
    <w:rsid w:val="3E283E77"/>
    <w:rsid w:val="3E57494A"/>
    <w:rsid w:val="3E783174"/>
    <w:rsid w:val="3EAA76B2"/>
    <w:rsid w:val="3EF151E5"/>
    <w:rsid w:val="3F7917A8"/>
    <w:rsid w:val="3FB347AD"/>
    <w:rsid w:val="3FD873C0"/>
    <w:rsid w:val="40062050"/>
    <w:rsid w:val="40870040"/>
    <w:rsid w:val="40884A49"/>
    <w:rsid w:val="408C3D95"/>
    <w:rsid w:val="408E5170"/>
    <w:rsid w:val="40B437D5"/>
    <w:rsid w:val="40B47BD4"/>
    <w:rsid w:val="40BE1A90"/>
    <w:rsid w:val="40E75FA9"/>
    <w:rsid w:val="412A2641"/>
    <w:rsid w:val="41426A1E"/>
    <w:rsid w:val="41913657"/>
    <w:rsid w:val="41A26732"/>
    <w:rsid w:val="41D93F68"/>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1A590C"/>
    <w:rsid w:val="4540061E"/>
    <w:rsid w:val="45740B37"/>
    <w:rsid w:val="464F6CC4"/>
    <w:rsid w:val="4650709C"/>
    <w:rsid w:val="46757D3F"/>
    <w:rsid w:val="46BC55F1"/>
    <w:rsid w:val="46C415BB"/>
    <w:rsid w:val="476C65B4"/>
    <w:rsid w:val="477B4F48"/>
    <w:rsid w:val="47B70E22"/>
    <w:rsid w:val="48312377"/>
    <w:rsid w:val="483823F0"/>
    <w:rsid w:val="48920822"/>
    <w:rsid w:val="48CE03CF"/>
    <w:rsid w:val="48D27BEE"/>
    <w:rsid w:val="492A1758"/>
    <w:rsid w:val="492E569F"/>
    <w:rsid w:val="4942504E"/>
    <w:rsid w:val="49802E37"/>
    <w:rsid w:val="49B5288E"/>
    <w:rsid w:val="49C8494B"/>
    <w:rsid w:val="49D42A91"/>
    <w:rsid w:val="49D95585"/>
    <w:rsid w:val="49F7174C"/>
    <w:rsid w:val="4A1F7FB4"/>
    <w:rsid w:val="4A9D5589"/>
    <w:rsid w:val="4AAF5BC7"/>
    <w:rsid w:val="4AB769E1"/>
    <w:rsid w:val="4AF82359"/>
    <w:rsid w:val="4AFF3F1B"/>
    <w:rsid w:val="4B3319C2"/>
    <w:rsid w:val="4B81009A"/>
    <w:rsid w:val="4BB13D7C"/>
    <w:rsid w:val="4BCA763E"/>
    <w:rsid w:val="4C0E27EA"/>
    <w:rsid w:val="4CB272BC"/>
    <w:rsid w:val="4CE23669"/>
    <w:rsid w:val="4CEE653A"/>
    <w:rsid w:val="4D3168F1"/>
    <w:rsid w:val="4D6273EE"/>
    <w:rsid w:val="4E0A6DE5"/>
    <w:rsid w:val="4E0E1E1D"/>
    <w:rsid w:val="4E892901"/>
    <w:rsid w:val="4ED2389A"/>
    <w:rsid w:val="4ED84D74"/>
    <w:rsid w:val="4EFC30E6"/>
    <w:rsid w:val="4F18132B"/>
    <w:rsid w:val="4F7F7D3E"/>
    <w:rsid w:val="4F9255D1"/>
    <w:rsid w:val="4F9B322D"/>
    <w:rsid w:val="4F9D39CF"/>
    <w:rsid w:val="4FB677D0"/>
    <w:rsid w:val="5014639A"/>
    <w:rsid w:val="50B13258"/>
    <w:rsid w:val="50DA2582"/>
    <w:rsid w:val="50EE65D2"/>
    <w:rsid w:val="50F46031"/>
    <w:rsid w:val="511A5F4C"/>
    <w:rsid w:val="512319B3"/>
    <w:rsid w:val="51936A44"/>
    <w:rsid w:val="51CF5ACA"/>
    <w:rsid w:val="52781EC3"/>
    <w:rsid w:val="529F6AF7"/>
    <w:rsid w:val="52B71A9E"/>
    <w:rsid w:val="52E02F27"/>
    <w:rsid w:val="530D226F"/>
    <w:rsid w:val="53470A6E"/>
    <w:rsid w:val="536C538B"/>
    <w:rsid w:val="539377DA"/>
    <w:rsid w:val="53CF4230"/>
    <w:rsid w:val="53D475D4"/>
    <w:rsid w:val="541D6CC0"/>
    <w:rsid w:val="5443464B"/>
    <w:rsid w:val="54570633"/>
    <w:rsid w:val="54705C46"/>
    <w:rsid w:val="54A560B8"/>
    <w:rsid w:val="54DD308F"/>
    <w:rsid w:val="556C4B0C"/>
    <w:rsid w:val="56790A89"/>
    <w:rsid w:val="567C0EDE"/>
    <w:rsid w:val="56874563"/>
    <w:rsid w:val="569D3217"/>
    <w:rsid w:val="56BA69E6"/>
    <w:rsid w:val="574345D9"/>
    <w:rsid w:val="57741F4B"/>
    <w:rsid w:val="578F4BA3"/>
    <w:rsid w:val="57AE7514"/>
    <w:rsid w:val="57B71ABF"/>
    <w:rsid w:val="57E047C9"/>
    <w:rsid w:val="58676CB9"/>
    <w:rsid w:val="589F2D24"/>
    <w:rsid w:val="58D40387"/>
    <w:rsid w:val="58F92360"/>
    <w:rsid w:val="590E7106"/>
    <w:rsid w:val="59167DF8"/>
    <w:rsid w:val="591B5EDB"/>
    <w:rsid w:val="59380FD3"/>
    <w:rsid w:val="597E4EA1"/>
    <w:rsid w:val="59B42C2A"/>
    <w:rsid w:val="59C96626"/>
    <w:rsid w:val="5A586B40"/>
    <w:rsid w:val="5AA93B8D"/>
    <w:rsid w:val="5AB14087"/>
    <w:rsid w:val="5AD261F1"/>
    <w:rsid w:val="5B3234EA"/>
    <w:rsid w:val="5BB55D66"/>
    <w:rsid w:val="5C1E6868"/>
    <w:rsid w:val="5C3558FF"/>
    <w:rsid w:val="5C6806E1"/>
    <w:rsid w:val="5C7266EF"/>
    <w:rsid w:val="5C8B05C2"/>
    <w:rsid w:val="5CC00EBB"/>
    <w:rsid w:val="5CEC747F"/>
    <w:rsid w:val="5D192B61"/>
    <w:rsid w:val="5D3A3A8E"/>
    <w:rsid w:val="5D8B73E8"/>
    <w:rsid w:val="5D980C1C"/>
    <w:rsid w:val="5D995489"/>
    <w:rsid w:val="5DB079E6"/>
    <w:rsid w:val="5DD404E3"/>
    <w:rsid w:val="5DF003F9"/>
    <w:rsid w:val="5E131A5B"/>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2A6C77"/>
    <w:rsid w:val="6160329F"/>
    <w:rsid w:val="617430B6"/>
    <w:rsid w:val="619B2A7B"/>
    <w:rsid w:val="61AB599D"/>
    <w:rsid w:val="620E4923"/>
    <w:rsid w:val="6237380D"/>
    <w:rsid w:val="6240283F"/>
    <w:rsid w:val="62A05B67"/>
    <w:rsid w:val="62DB5692"/>
    <w:rsid w:val="62ED43B5"/>
    <w:rsid w:val="62F23955"/>
    <w:rsid w:val="62F903B5"/>
    <w:rsid w:val="63C02B07"/>
    <w:rsid w:val="64557D2B"/>
    <w:rsid w:val="64AE2D29"/>
    <w:rsid w:val="65354C04"/>
    <w:rsid w:val="655A788A"/>
    <w:rsid w:val="65E94704"/>
    <w:rsid w:val="66D336B8"/>
    <w:rsid w:val="6709159B"/>
    <w:rsid w:val="671C3839"/>
    <w:rsid w:val="672C1EBA"/>
    <w:rsid w:val="673A6B86"/>
    <w:rsid w:val="674E77BF"/>
    <w:rsid w:val="677055CA"/>
    <w:rsid w:val="678E0367"/>
    <w:rsid w:val="679369A3"/>
    <w:rsid w:val="679961AA"/>
    <w:rsid w:val="67B760D2"/>
    <w:rsid w:val="682929B5"/>
    <w:rsid w:val="682F6EAD"/>
    <w:rsid w:val="68515C67"/>
    <w:rsid w:val="68BE3EA3"/>
    <w:rsid w:val="69180420"/>
    <w:rsid w:val="69347E1B"/>
    <w:rsid w:val="694E5040"/>
    <w:rsid w:val="695A6918"/>
    <w:rsid w:val="697D2AD1"/>
    <w:rsid w:val="6A385A84"/>
    <w:rsid w:val="6A484A8B"/>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8E2BC7"/>
    <w:rsid w:val="6DF878E4"/>
    <w:rsid w:val="6E630391"/>
    <w:rsid w:val="6F922E55"/>
    <w:rsid w:val="6FAF49F7"/>
    <w:rsid w:val="707441BB"/>
    <w:rsid w:val="708414F7"/>
    <w:rsid w:val="708C1B31"/>
    <w:rsid w:val="708D0E66"/>
    <w:rsid w:val="70BA393E"/>
    <w:rsid w:val="70CC4BC0"/>
    <w:rsid w:val="70E4330E"/>
    <w:rsid w:val="70F33D7B"/>
    <w:rsid w:val="717F7444"/>
    <w:rsid w:val="71CC1C7C"/>
    <w:rsid w:val="71E120AB"/>
    <w:rsid w:val="71EB712A"/>
    <w:rsid w:val="72C27FA6"/>
    <w:rsid w:val="72CD1E30"/>
    <w:rsid w:val="72F27CCF"/>
    <w:rsid w:val="73032DB9"/>
    <w:rsid w:val="732037C2"/>
    <w:rsid w:val="73AA4BE9"/>
    <w:rsid w:val="74297C7C"/>
    <w:rsid w:val="74385DE5"/>
    <w:rsid w:val="74B41D21"/>
    <w:rsid w:val="759C7166"/>
    <w:rsid w:val="75A9470E"/>
    <w:rsid w:val="75C74684"/>
    <w:rsid w:val="75C857C9"/>
    <w:rsid w:val="760A6D2F"/>
    <w:rsid w:val="762429DE"/>
    <w:rsid w:val="7688070B"/>
    <w:rsid w:val="76B03EE3"/>
    <w:rsid w:val="76C36E32"/>
    <w:rsid w:val="7710508A"/>
    <w:rsid w:val="77C11B4C"/>
    <w:rsid w:val="77E97F30"/>
    <w:rsid w:val="78AE5CDB"/>
    <w:rsid w:val="79C01ACA"/>
    <w:rsid w:val="79CF2250"/>
    <w:rsid w:val="79ED0498"/>
    <w:rsid w:val="7A926977"/>
    <w:rsid w:val="7AF53B5D"/>
    <w:rsid w:val="7AFA7350"/>
    <w:rsid w:val="7B12020A"/>
    <w:rsid w:val="7B1B76BB"/>
    <w:rsid w:val="7BAA2E76"/>
    <w:rsid w:val="7C124499"/>
    <w:rsid w:val="7C6D4C1D"/>
    <w:rsid w:val="7C9129FF"/>
    <w:rsid w:val="7CE71E7A"/>
    <w:rsid w:val="7D764148"/>
    <w:rsid w:val="7DDB1222"/>
    <w:rsid w:val="7E1B5A41"/>
    <w:rsid w:val="7E4E2AA2"/>
    <w:rsid w:val="7E572472"/>
    <w:rsid w:val="7E7734EE"/>
    <w:rsid w:val="7E9A6542"/>
    <w:rsid w:val="7EAA5C42"/>
    <w:rsid w:val="7ED31908"/>
    <w:rsid w:val="7EE11E36"/>
    <w:rsid w:val="7F152581"/>
    <w:rsid w:val="7F2E6E32"/>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9"/>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1"/>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72"/>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qFormat/>
    <w:uiPriority w:val="0"/>
  </w:style>
  <w:style w:type="table" w:default="1" w:styleId="3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9">
    <w:name w:val="Body Text First Indent"/>
    <w:basedOn w:val="10"/>
    <w:qFormat/>
    <w:uiPriority w:val="0"/>
    <w:pPr>
      <w:spacing w:after="120" w:line="240" w:lineRule="auto"/>
      <w:ind w:firstLine="420" w:firstLineChars="100"/>
      <w:jc w:val="both"/>
    </w:pPr>
    <w:rPr>
      <w:b w:val="0"/>
      <w:bCs w:val="0"/>
      <w:sz w:val="21"/>
    </w:rPr>
  </w:style>
  <w:style w:type="paragraph" w:styleId="10">
    <w:name w:val="Body Text"/>
    <w:basedOn w:val="1"/>
    <w:next w:val="1"/>
    <w:qFormat/>
    <w:uiPriority w:val="0"/>
    <w:pPr>
      <w:spacing w:line="300" w:lineRule="auto"/>
      <w:jc w:val="center"/>
    </w:pPr>
    <w:rPr>
      <w:b/>
      <w:bCs/>
      <w:sz w:val="44"/>
    </w:r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65"/>
    <w:qFormat/>
    <w:uiPriority w:val="0"/>
    <w:pPr>
      <w:jc w:val="left"/>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60"/>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70"/>
    <w:semiHidden/>
    <w:qFormat/>
    <w:uiPriority w:val="99"/>
    <w:rPr>
      <w:sz w:val="18"/>
      <w:szCs w:val="18"/>
    </w:rPr>
  </w:style>
  <w:style w:type="paragraph" w:styleId="20">
    <w:name w:val="footer"/>
    <w:basedOn w:val="1"/>
    <w:link w:val="67"/>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2"/>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 Char Char Char"/>
    <w:basedOn w:val="1"/>
    <w:qFormat/>
    <w:uiPriority w:val="0"/>
    <w:rPr>
      <w:rFonts w:ascii="Tahoma" w:hAnsi="Tahoma"/>
      <w:sz w:val="24"/>
      <w:szCs w:val="20"/>
    </w:rPr>
  </w:style>
  <w:style w:type="paragraph" w:customStyle="1" w:styleId="35">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样式2"/>
    <w:basedOn w:val="1"/>
    <w:link w:val="68"/>
    <w:qFormat/>
    <w:uiPriority w:val="0"/>
    <w:pPr>
      <w:spacing w:line="600" w:lineRule="exact"/>
    </w:pPr>
    <w:rPr>
      <w:rFonts w:ascii="仿宋_GB2312" w:hAnsi="宋体" w:eastAsia="仿宋_GB2312"/>
      <w:b/>
      <w:sz w:val="32"/>
      <w:szCs w:val="32"/>
    </w:rPr>
  </w:style>
  <w:style w:type="paragraph" w:customStyle="1" w:styleId="37">
    <w:name w:val="环小四表内容"/>
    <w:basedOn w:val="1"/>
    <w:qFormat/>
    <w:uiPriority w:val="99"/>
    <w:pPr>
      <w:wordWrap w:val="0"/>
      <w:spacing w:line="240" w:lineRule="exact"/>
      <w:jc w:val="center"/>
    </w:pPr>
    <w:rPr>
      <w:rFonts w:hAnsi="宋体"/>
      <w:sz w:val="18"/>
      <w:szCs w:val="21"/>
    </w:rPr>
  </w:style>
  <w:style w:type="paragraph" w:customStyle="1" w:styleId="38">
    <w:name w:val="_Style 37"/>
    <w:basedOn w:val="1"/>
    <w:next w:val="1"/>
    <w:qFormat/>
    <w:uiPriority w:val="0"/>
    <w:pPr>
      <w:pBdr>
        <w:bottom w:val="single" w:color="auto" w:sz="6" w:space="1"/>
      </w:pBdr>
      <w:jc w:val="center"/>
    </w:pPr>
    <w:rPr>
      <w:rFonts w:ascii="Arial" w:eastAsia="宋体"/>
      <w:vanish/>
      <w:sz w:val="16"/>
    </w:rPr>
  </w:style>
  <w:style w:type="paragraph" w:customStyle="1" w:styleId="39">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0">
    <w:name w:val="Normal_0"/>
    <w:qFormat/>
    <w:uiPriority w:val="0"/>
    <w:rPr>
      <w:rFonts w:ascii="Times New Roman" w:hAnsi="Times New Roman" w:eastAsia="Times New Roman" w:cs="Times New Roman"/>
      <w:sz w:val="24"/>
      <w:szCs w:val="24"/>
      <w:lang w:bidi="ar-SA"/>
    </w:rPr>
  </w:style>
  <w:style w:type="paragraph" w:customStyle="1" w:styleId="41">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2">
    <w:name w:val=" Char"/>
    <w:basedOn w:val="1"/>
    <w:qFormat/>
    <w:uiPriority w:val="0"/>
    <w:rPr>
      <w:rFonts w:ascii="Tahoma" w:hAnsi="Tahoma"/>
      <w:sz w:val="24"/>
      <w:szCs w:val="20"/>
    </w:rPr>
  </w:style>
  <w:style w:type="paragraph" w:customStyle="1" w:styleId="43">
    <w:name w:val="_Style 42"/>
    <w:basedOn w:val="1"/>
    <w:next w:val="1"/>
    <w:qFormat/>
    <w:uiPriority w:val="0"/>
    <w:pPr>
      <w:pBdr>
        <w:top w:val="single" w:color="auto" w:sz="6" w:space="1"/>
      </w:pBdr>
      <w:jc w:val="center"/>
    </w:pPr>
    <w:rPr>
      <w:rFonts w:ascii="Arial" w:eastAsia="宋体"/>
      <w:vanish/>
      <w:sz w:val="16"/>
    </w:rPr>
  </w:style>
  <w:style w:type="paragraph" w:customStyle="1" w:styleId="44">
    <w:name w:val="Char Char Char Char Char Char Char1 Char"/>
    <w:basedOn w:val="1"/>
    <w:qFormat/>
    <w:uiPriority w:val="0"/>
    <w:rPr>
      <w:rFonts w:ascii="Tahoma" w:hAnsi="Tahoma"/>
      <w:sz w:val="24"/>
      <w:szCs w:val="20"/>
    </w:rPr>
  </w:style>
  <w:style w:type="paragraph" w:customStyle="1" w:styleId="45">
    <w:name w:val="环小四1.1(三级)"/>
    <w:basedOn w:val="46"/>
    <w:qFormat/>
    <w:uiPriority w:val="99"/>
  </w:style>
  <w:style w:type="paragraph" w:customStyle="1" w:styleId="46">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7">
    <w:name w:val="正文部分1"/>
    <w:basedOn w:val="1"/>
    <w:qFormat/>
    <w:uiPriority w:val="99"/>
    <w:pPr>
      <w:ind w:firstLine="200" w:firstLineChars="200"/>
    </w:pPr>
    <w:rPr>
      <w:rFonts w:ascii="宋体" w:hAnsi="宋体"/>
      <w:color w:val="000000"/>
      <w:sz w:val="24"/>
    </w:rPr>
  </w:style>
  <w:style w:type="paragraph" w:customStyle="1" w:styleId="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环小四内容"/>
    <w:basedOn w:val="1"/>
    <w:qFormat/>
    <w:uiPriority w:val="99"/>
    <w:pPr>
      <w:ind w:firstLine="200" w:firstLineChars="200"/>
    </w:pPr>
    <w:rPr>
      <w:rFonts w:hAnsi="宋体"/>
    </w:rPr>
  </w:style>
  <w:style w:type="paragraph" w:styleId="51">
    <w:name w:val="List Paragraph"/>
    <w:basedOn w:val="1"/>
    <w:qFormat/>
    <w:uiPriority w:val="0"/>
    <w:pPr>
      <w:ind w:firstLine="420" w:firstLineChars="200"/>
    </w:pPr>
    <w:rPr>
      <w:rFonts w:ascii="Calibri" w:hAnsi="Calibri"/>
      <w:szCs w:val="22"/>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paragraph" w:customStyle="1" w:styleId="53">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Char Char Char Char Char Char Char1 Char Char Char Char Char Char Char"/>
    <w:basedOn w:val="1"/>
    <w:qFormat/>
    <w:uiPriority w:val="0"/>
    <w:rPr>
      <w:rFonts w:ascii="Tahoma" w:hAnsi="Tahoma"/>
      <w:sz w:val="24"/>
      <w:szCs w:val="20"/>
    </w:rPr>
  </w:style>
  <w:style w:type="paragraph" w:customStyle="1" w:styleId="5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6">
    <w:name w:val="absatz1"/>
    <w:basedOn w:val="1"/>
    <w:qFormat/>
    <w:uiPriority w:val="0"/>
    <w:pPr>
      <w:widowControl/>
      <w:tabs>
        <w:tab w:val="left" w:pos="709"/>
      </w:tabs>
      <w:ind w:left="709" w:hanging="709"/>
    </w:pPr>
    <w:rPr>
      <w:kern w:val="0"/>
      <w:sz w:val="24"/>
      <w:szCs w:val="20"/>
    </w:rPr>
  </w:style>
  <w:style w:type="paragraph" w:customStyle="1" w:styleId="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默认段落字体 Para Char Char Char Char Char Char Char Char Char1 Char Char Char Char Char Char Char Char"/>
    <w:basedOn w:val="12"/>
    <w:qFormat/>
    <w:uiPriority w:val="0"/>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60">
    <w:name w:val="纯文本 Char"/>
    <w:link w:val="16"/>
    <w:qFormat/>
    <w:uiPriority w:val="0"/>
    <w:rPr>
      <w:rFonts w:ascii="宋体" w:hAnsi="Courier New"/>
      <w:kern w:val="2"/>
      <w:sz w:val="21"/>
    </w:rPr>
  </w:style>
  <w:style w:type="character" w:customStyle="1" w:styleId="61">
    <w:name w:val="标题 5 Char"/>
    <w:link w:val="7"/>
    <w:qFormat/>
    <w:uiPriority w:val="9"/>
    <w:rPr>
      <w:rFonts w:ascii="宋体" w:hAnsi="宋体" w:cs="宋体"/>
      <w:b/>
      <w:bCs/>
    </w:rPr>
  </w:style>
  <w:style w:type="character" w:customStyle="1" w:styleId="62">
    <w:name w:val="正文文本 2 Char"/>
    <w:link w:val="24"/>
    <w:qFormat/>
    <w:locked/>
    <w:uiPriority w:val="99"/>
    <w:rPr>
      <w:rFonts w:ascii="宋体" w:hAnsi="宋体"/>
      <w:kern w:val="0"/>
      <w:sz w:val="20"/>
      <w:szCs w:val="21"/>
    </w:rPr>
  </w:style>
  <w:style w:type="character" w:customStyle="1" w:styleId="63">
    <w:name w:val="页眉 Char"/>
    <w:link w:val="21"/>
    <w:qFormat/>
    <w:uiPriority w:val="0"/>
    <w:rPr>
      <w:rFonts w:eastAsia="宋体"/>
      <w:kern w:val="2"/>
      <w:sz w:val="18"/>
      <w:szCs w:val="18"/>
      <w:lang w:val="en-US" w:eastAsia="zh-CN" w:bidi="ar-SA"/>
    </w:rPr>
  </w:style>
  <w:style w:type="character" w:customStyle="1" w:styleId="64">
    <w:name w:val="标题 2 Char"/>
    <w:link w:val="4"/>
    <w:qFormat/>
    <w:uiPriority w:val="9"/>
    <w:rPr>
      <w:rFonts w:ascii="Arial" w:hAnsi="Arial" w:eastAsia="黑体"/>
      <w:b/>
      <w:bCs/>
      <w:kern w:val="2"/>
      <w:sz w:val="32"/>
      <w:szCs w:val="32"/>
      <w:lang w:val="en-US" w:eastAsia="zh-CN" w:bidi="ar-SA"/>
    </w:rPr>
  </w:style>
  <w:style w:type="character" w:customStyle="1" w:styleId="65">
    <w:name w:val="批注文字 Char"/>
    <w:link w:val="13"/>
    <w:qFormat/>
    <w:locked/>
    <w:uiPriority w:val="0"/>
    <w:rPr>
      <w:kern w:val="2"/>
      <w:sz w:val="21"/>
      <w:szCs w:val="24"/>
    </w:rPr>
  </w:style>
  <w:style w:type="character" w:customStyle="1" w:styleId="66">
    <w:name w:val="标题 4 Char"/>
    <w:link w:val="6"/>
    <w:qFormat/>
    <w:uiPriority w:val="9"/>
    <w:rPr>
      <w:rFonts w:ascii="宋体" w:hAnsi="宋体" w:cs="宋体"/>
      <w:b/>
      <w:bCs/>
      <w:sz w:val="24"/>
      <w:szCs w:val="24"/>
    </w:rPr>
  </w:style>
  <w:style w:type="character" w:customStyle="1" w:styleId="67">
    <w:name w:val="页脚 Char"/>
    <w:link w:val="20"/>
    <w:qFormat/>
    <w:uiPriority w:val="99"/>
    <w:rPr>
      <w:rFonts w:ascii="宋体" w:hAnsi="宋体"/>
      <w:sz w:val="18"/>
      <w:szCs w:val="18"/>
    </w:rPr>
  </w:style>
  <w:style w:type="character" w:customStyle="1" w:styleId="68">
    <w:name w:val="样式2 Char Char"/>
    <w:link w:val="36"/>
    <w:qFormat/>
    <w:uiPriority w:val="0"/>
    <w:rPr>
      <w:rFonts w:ascii="仿宋_GB2312" w:hAnsi="宋体" w:eastAsia="仿宋_GB2312"/>
      <w:b/>
      <w:kern w:val="2"/>
      <w:sz w:val="32"/>
      <w:szCs w:val="32"/>
      <w:lang w:val="en-US" w:eastAsia="zh-CN" w:bidi="ar-SA"/>
    </w:rPr>
  </w:style>
  <w:style w:type="character" w:customStyle="1" w:styleId="69">
    <w:name w:val="标题 3 Char"/>
    <w:link w:val="5"/>
    <w:qFormat/>
    <w:uiPriority w:val="0"/>
    <w:rPr>
      <w:b/>
      <w:bCs/>
      <w:kern w:val="2"/>
      <w:sz w:val="32"/>
      <w:szCs w:val="32"/>
    </w:rPr>
  </w:style>
  <w:style w:type="character" w:customStyle="1" w:styleId="70">
    <w:name w:val="批注框文本 Char"/>
    <w:link w:val="19"/>
    <w:semiHidden/>
    <w:qFormat/>
    <w:uiPriority w:val="99"/>
    <w:rPr>
      <w:kern w:val="2"/>
      <w:sz w:val="18"/>
      <w:szCs w:val="18"/>
    </w:rPr>
  </w:style>
  <w:style w:type="character" w:customStyle="1" w:styleId="71">
    <w:name w:val="标题 1 Char"/>
    <w:link w:val="3"/>
    <w:qFormat/>
    <w:uiPriority w:val="9"/>
    <w:rPr>
      <w:b/>
      <w:bCs/>
      <w:kern w:val="44"/>
      <w:sz w:val="44"/>
      <w:szCs w:val="44"/>
    </w:rPr>
  </w:style>
  <w:style w:type="character" w:customStyle="1" w:styleId="72">
    <w:name w:val="标题 6 Char"/>
    <w:link w:val="8"/>
    <w:qFormat/>
    <w:uiPriority w:val="9"/>
    <w:rPr>
      <w:rFonts w:ascii="宋体" w:hAnsi="宋体" w:cs="宋体"/>
      <w:b/>
      <w:bCs/>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46</Pages>
  <Words>4177</Words>
  <Characters>23815</Characters>
  <Lines>198</Lines>
  <Paragraphs>55</Paragraphs>
  <TotalTime>15</TotalTime>
  <ScaleCrop>false</ScaleCrop>
  <LinksUpToDate>false</LinksUpToDate>
  <CharactersWithSpaces>27937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2025-03-11T08:51:38Z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FE8065BE096F43509218976F283727DB</vt:lpwstr>
  </property>
</Properties>
</file>