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000000"/>
          <w:sz w:val="48"/>
          <w:szCs w:val="44"/>
        </w:rPr>
      </w:pPr>
    </w:p>
    <w:p>
      <w:pPr>
        <w:jc w:val="both"/>
        <w:rPr>
          <w:rFonts w:hint="eastAsia" w:ascii="宋体" w:hAnsi="宋体"/>
          <w:color w:val="000000"/>
          <w:sz w:val="48"/>
          <w:szCs w:val="44"/>
        </w:rPr>
      </w:pPr>
    </w:p>
    <w:p>
      <w:pPr>
        <w:jc w:val="center"/>
        <w:rPr>
          <w:rFonts w:hint="eastAsia"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hint="eastAsia"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竞争性谈判邀请文件</w:t>
      </w:r>
    </w:p>
    <w:p>
      <w:pPr>
        <w:spacing w:line="300" w:lineRule="auto"/>
        <w:jc w:val="center"/>
        <w:rPr>
          <w:rFonts w:hint="eastAsia"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(服务类)</w:t>
      </w:r>
    </w:p>
    <w:p>
      <w:pPr>
        <w:spacing w:line="560" w:lineRule="exact"/>
        <w:jc w:val="center"/>
        <w:rPr>
          <w:rFonts w:ascii="仿宋_GB2312" w:eastAsia="仿宋_GB2312"/>
          <w:color w:val="000000"/>
          <w:sz w:val="32"/>
          <w:szCs w:val="28"/>
        </w:rPr>
      </w:pPr>
    </w:p>
    <w:p>
      <w:pPr>
        <w:spacing w:line="560" w:lineRule="exact"/>
        <w:ind w:firstLine="2240" w:firstLineChars="700"/>
        <w:rPr>
          <w:rFonts w:hint="eastAsia" w:ascii="宋体" w:hAnsi="宋体" w:cs="宋体"/>
          <w:color w:val="000000"/>
          <w:sz w:val="32"/>
          <w:szCs w:val="28"/>
        </w:rPr>
      </w:pPr>
      <w:r>
        <w:rPr>
          <w:rFonts w:hint="eastAsia" w:ascii="宋体" w:hAnsi="宋体" w:cs="宋体"/>
          <w:color w:val="000000"/>
          <w:sz w:val="32"/>
          <w:szCs w:val="28"/>
        </w:rPr>
        <w:t>文件编号：</w:t>
      </w:r>
      <w:r>
        <w:rPr>
          <w:rFonts w:hint="eastAsia" w:ascii="宋体" w:hAnsi="宋体" w:cs="宋体"/>
          <w:color w:val="000000"/>
          <w:sz w:val="32"/>
          <w:szCs w:val="28"/>
          <w:highlight w:val="yellow"/>
        </w:rPr>
        <w:t>SACSC-TP-S-2025022</w:t>
      </w:r>
    </w:p>
    <w:p>
      <w:pPr>
        <w:spacing w:line="560" w:lineRule="exact"/>
        <w:ind w:firstLine="2240" w:firstLineChars="700"/>
        <w:rPr>
          <w:rFonts w:hint="eastAsia" w:ascii="宋体" w:hAnsi="宋体" w:cs="宋体"/>
          <w:color w:val="000000"/>
          <w:sz w:val="32"/>
          <w:szCs w:val="28"/>
        </w:rPr>
      </w:pPr>
      <w:r>
        <w:rPr>
          <w:rFonts w:hint="eastAsia" w:ascii="宋体" w:hAnsi="宋体" w:cs="宋体"/>
          <w:color w:val="000000"/>
          <w:sz w:val="32"/>
          <w:szCs w:val="28"/>
        </w:rPr>
        <w:t>项目名称：香港库房租赁服务</w:t>
      </w:r>
    </w:p>
    <w:p>
      <w:pPr>
        <w:spacing w:line="560" w:lineRule="exact"/>
        <w:jc w:val="both"/>
        <w:rPr>
          <w:rFonts w:hint="eastAsia" w:ascii="宋体" w:hAnsi="宋体"/>
          <w:color w:val="000000"/>
          <w:sz w:val="32"/>
          <w:szCs w:val="28"/>
        </w:rPr>
      </w:pPr>
    </w:p>
    <w:p>
      <w:pPr>
        <w:spacing w:line="560" w:lineRule="exact"/>
        <w:jc w:val="both"/>
        <w:rPr>
          <w:rFonts w:hint="eastAsia" w:ascii="宋体" w:hAnsi="宋体"/>
          <w:color w:val="000000"/>
          <w:sz w:val="32"/>
          <w:szCs w:val="28"/>
        </w:rPr>
      </w:pPr>
    </w:p>
    <w:p>
      <w:pPr>
        <w:spacing w:line="560" w:lineRule="exact"/>
        <w:jc w:val="center"/>
        <w:rPr>
          <w:rFonts w:hint="eastAsia"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仿宋_GB2312" w:eastAsia="仿宋_GB2312"/>
          <w:color w:val="000000"/>
          <w:sz w:val="32"/>
          <w:szCs w:val="28"/>
        </w:rPr>
      </w:pPr>
      <w:r>
        <w:rPr>
          <w:rFonts w:hint="eastAsia" w:ascii="宋体" w:hAnsi="宋体"/>
          <w:color w:val="000000"/>
          <w:sz w:val="32"/>
          <w:szCs w:val="28"/>
        </w:rPr>
        <w:t>采购与供应商管理部</w:t>
      </w:r>
    </w:p>
    <w:p>
      <w:pPr>
        <w:jc w:val="center"/>
        <w:rPr>
          <w:rFonts w:hint="eastAsia" w:ascii="宋体" w:hAnsi="宋体"/>
          <w:color w:val="000000"/>
          <w:sz w:val="32"/>
          <w:szCs w:val="28"/>
        </w:rPr>
      </w:pPr>
    </w:p>
    <w:p>
      <w:pPr>
        <w:jc w:val="center"/>
        <w:rPr>
          <w:rFonts w:hint="eastAsia" w:ascii="宋体" w:hAnsi="宋体"/>
          <w:color w:val="000000"/>
          <w:sz w:val="32"/>
          <w:szCs w:val="28"/>
        </w:rPr>
      </w:pPr>
      <w:r>
        <w:rPr>
          <w:rFonts w:hint="eastAsia" w:ascii="仿宋" w:hAnsi="仿宋" w:eastAsia="仿宋" w:cs="仿宋"/>
          <w:color w:val="000000"/>
          <w:sz w:val="32"/>
          <w:szCs w:val="28"/>
        </w:rPr>
        <w:t>2025</w:t>
      </w:r>
      <w:r>
        <w:rPr>
          <w:rFonts w:hint="eastAsia" w:ascii="宋体" w:hAnsi="宋体"/>
          <w:color w:val="000000"/>
          <w:sz w:val="32"/>
          <w:szCs w:val="28"/>
        </w:rPr>
        <w:t>年</w:t>
      </w:r>
      <w:r>
        <w:rPr>
          <w:rFonts w:hint="eastAsia" w:ascii="仿宋" w:hAnsi="仿宋" w:eastAsia="仿宋" w:cs="仿宋"/>
          <w:color w:val="000000"/>
          <w:sz w:val="32"/>
          <w:szCs w:val="28"/>
          <w:highlight w:val="yellow"/>
          <w:lang w:val="en-US" w:eastAsia="zh-CN"/>
        </w:rPr>
        <w:t>6</w:t>
      </w:r>
      <w:r>
        <w:rPr>
          <w:rFonts w:hint="eastAsia" w:ascii="宋体" w:hAnsi="宋体"/>
          <w:color w:val="000000"/>
          <w:sz w:val="32"/>
          <w:szCs w:val="28"/>
        </w:rPr>
        <w:t>月</w:t>
      </w:r>
      <w:r>
        <w:rPr>
          <w:rFonts w:hint="eastAsia" w:ascii="宋体" w:hAnsi="宋体"/>
          <w:color w:val="000000"/>
          <w:sz w:val="32"/>
          <w:szCs w:val="28"/>
          <w:highlight w:val="yellow"/>
          <w:lang w:val="en-US" w:eastAsia="zh-CN"/>
        </w:rPr>
        <w:t>3</w:t>
      </w:r>
      <w:r>
        <w:rPr>
          <w:rFonts w:hint="eastAsia" w:ascii="宋体" w:hAnsi="宋体"/>
          <w:color w:val="000000"/>
          <w:sz w:val="32"/>
          <w:szCs w:val="28"/>
        </w:rPr>
        <w:t>日</w:t>
      </w:r>
    </w:p>
    <w:p>
      <w:pPr>
        <w:jc w:val="center"/>
        <w:outlineLvl w:val="0"/>
        <w:rPr>
          <w:rFonts w:hint="eastAsia"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color w:val="000000"/>
          <w:sz w:val="32"/>
          <w:szCs w:val="36"/>
        </w:rPr>
      </w:pPr>
    </w:p>
    <w:p>
      <w:pPr>
        <w:pStyle w:val="53"/>
        <w:tabs>
          <w:tab w:val="right" w:leader="dot" w:pos="9026"/>
        </w:tabs>
        <w:spacing w:line="360" w:lineRule="auto"/>
        <w:rPr>
          <w:sz w:val="24"/>
        </w:rPr>
      </w:pPr>
      <w:bookmarkStart w:id="1" w:name="_Toc16676_WPSOffice_Type1"/>
      <w:r>
        <w:rPr>
          <w:sz w:val="24"/>
        </w:rPr>
        <w:fldChar w:fldCharType="begin"/>
      </w:r>
      <w:r>
        <w:rPr>
          <w:sz w:val="24"/>
        </w:rPr>
        <w:instrText xml:space="preserve"> HYPERLINK \l _Toc10946_WPSOffice_Level1 </w:instrText>
      </w:r>
      <w:r>
        <w:rPr>
          <w:sz w:val="24"/>
        </w:rPr>
        <w:fldChar w:fldCharType="separate"/>
      </w:r>
      <w:r>
        <w:rPr>
          <w:rFonts w:hint="eastAsia"/>
          <w:sz w:val="24"/>
        </w:rPr>
        <w:t>第一章  竞争性谈判邀请书</w:t>
      </w:r>
      <w:r>
        <w:rPr>
          <w:sz w:val="24"/>
        </w:rPr>
        <w:tab/>
      </w:r>
      <w:r>
        <w:rPr>
          <w:rFonts w:hint="eastAsia"/>
          <w:sz w:val="24"/>
        </w:rPr>
        <w:t>3</w:t>
      </w:r>
      <w:r>
        <w:rPr>
          <w:sz w:val="24"/>
        </w:rPr>
        <w:fldChar w:fldCharType="end"/>
      </w:r>
    </w:p>
    <w:p>
      <w:pPr>
        <w:pStyle w:val="53"/>
        <w:tabs>
          <w:tab w:val="right" w:leader="dot" w:pos="9026"/>
        </w:tabs>
        <w:spacing w:line="360" w:lineRule="auto"/>
        <w:rPr>
          <w:sz w:val="24"/>
        </w:rPr>
      </w:pPr>
      <w:r>
        <w:fldChar w:fldCharType="begin"/>
      </w:r>
      <w:r>
        <w:instrText xml:space="preserve"> HYPERLINK \l "_Toc15799_WPSOffice_Level1" </w:instrText>
      </w:r>
      <w:r>
        <w:fldChar w:fldCharType="separate"/>
      </w:r>
      <w:r>
        <w:rPr>
          <w:rFonts w:hint="eastAsia"/>
          <w:sz w:val="24"/>
        </w:rPr>
        <w:t>第二章  响应单位须知</w:t>
      </w:r>
      <w:r>
        <w:rPr>
          <w:sz w:val="24"/>
        </w:rPr>
        <w:tab/>
      </w:r>
      <w:r>
        <w:rPr>
          <w:rFonts w:hint="eastAsia"/>
          <w:sz w:val="24"/>
        </w:rPr>
        <w:t>6</w:t>
      </w:r>
      <w:r>
        <w:rPr>
          <w:rFonts w:hint="eastAsia"/>
          <w:sz w:val="24"/>
        </w:rPr>
        <w:fldChar w:fldCharType="end"/>
      </w:r>
    </w:p>
    <w:p>
      <w:pPr>
        <w:pStyle w:val="53"/>
        <w:tabs>
          <w:tab w:val="right" w:leader="dot" w:pos="9026"/>
        </w:tabs>
        <w:spacing w:line="360" w:lineRule="auto"/>
        <w:rPr>
          <w:sz w:val="24"/>
        </w:rPr>
      </w:pPr>
      <w:r>
        <w:fldChar w:fldCharType="begin"/>
      </w:r>
      <w:r>
        <w:instrText xml:space="preserve"> HYPERLINK \l "_Toc31820_WPSOffice_Level1" </w:instrText>
      </w:r>
      <w:r>
        <w:fldChar w:fldCharType="separate"/>
      </w:r>
      <w:r>
        <w:rPr>
          <w:rFonts w:hint="eastAsia"/>
          <w:sz w:val="24"/>
        </w:rPr>
        <w:t>第三章  评审办法</w:t>
      </w:r>
      <w:r>
        <w:rPr>
          <w:sz w:val="24"/>
        </w:rPr>
        <w:tab/>
      </w:r>
      <w:r>
        <w:rPr>
          <w:rFonts w:hint="eastAsia"/>
          <w:sz w:val="24"/>
        </w:rPr>
        <w:t>8</w:t>
      </w:r>
      <w:r>
        <w:rPr>
          <w:rFonts w:hint="eastAsia"/>
          <w:sz w:val="24"/>
        </w:rPr>
        <w:fldChar w:fldCharType="end"/>
      </w:r>
    </w:p>
    <w:p>
      <w:pPr>
        <w:pStyle w:val="53"/>
        <w:tabs>
          <w:tab w:val="right" w:leader="dot" w:pos="9026"/>
        </w:tabs>
        <w:spacing w:line="360" w:lineRule="auto"/>
        <w:rPr>
          <w:sz w:val="24"/>
        </w:rPr>
      </w:pPr>
      <w:r>
        <w:fldChar w:fldCharType="begin"/>
      </w:r>
      <w:r>
        <w:instrText xml:space="preserve"> HYPERLINK \l "_Toc742_WPSOffice_Level1" </w:instrText>
      </w:r>
      <w:r>
        <w:fldChar w:fldCharType="separate"/>
      </w:r>
      <w:r>
        <w:rPr>
          <w:rFonts w:hint="eastAsia"/>
          <w:sz w:val="24"/>
        </w:rPr>
        <w:t>第四章  商务要求</w:t>
      </w:r>
      <w:r>
        <w:rPr>
          <w:sz w:val="24"/>
        </w:rPr>
        <w:tab/>
      </w:r>
      <w:r>
        <w:rPr>
          <w:rFonts w:hint="eastAsia"/>
          <w:sz w:val="24"/>
        </w:rPr>
        <w:t>1</w:t>
      </w:r>
      <w:r>
        <w:rPr>
          <w:rFonts w:hint="eastAsia"/>
          <w:sz w:val="24"/>
        </w:rPr>
        <w:fldChar w:fldCharType="end"/>
      </w:r>
      <w:r>
        <w:rPr>
          <w:rFonts w:hint="eastAsia"/>
          <w:sz w:val="24"/>
        </w:rPr>
        <w:t>1</w:t>
      </w:r>
    </w:p>
    <w:p>
      <w:pPr>
        <w:pStyle w:val="53"/>
        <w:tabs>
          <w:tab w:val="right" w:leader="dot" w:pos="9026"/>
        </w:tabs>
        <w:spacing w:line="360" w:lineRule="auto"/>
        <w:rPr>
          <w:sz w:val="24"/>
        </w:rPr>
      </w:pPr>
      <w:r>
        <w:fldChar w:fldCharType="begin"/>
      </w:r>
      <w:r>
        <w:instrText xml:space="preserve"> HYPERLINK \l "_Toc28157_WPSOffice_Level1" </w:instrText>
      </w:r>
      <w:r>
        <w:fldChar w:fldCharType="separate"/>
      </w:r>
      <w:r>
        <w:rPr>
          <w:rFonts w:hint="eastAsia"/>
          <w:sz w:val="24"/>
        </w:rPr>
        <w:t>第五章  服务要求</w:t>
      </w:r>
      <w:r>
        <w:rPr>
          <w:sz w:val="24"/>
        </w:rPr>
        <w:tab/>
      </w:r>
      <w:bookmarkStart w:id="2" w:name="_Toc28157_WPSOffice_Level1Page"/>
      <w:r>
        <w:rPr>
          <w:sz w:val="24"/>
        </w:rPr>
        <w:t>15</w:t>
      </w:r>
      <w:bookmarkEnd w:id="2"/>
      <w:r>
        <w:rPr>
          <w:sz w:val="24"/>
        </w:rPr>
        <w:fldChar w:fldCharType="end"/>
      </w:r>
    </w:p>
    <w:p>
      <w:pPr>
        <w:pStyle w:val="53"/>
        <w:tabs>
          <w:tab w:val="right" w:leader="dot" w:pos="9026"/>
        </w:tabs>
        <w:spacing w:line="360" w:lineRule="auto"/>
        <w:rPr>
          <w:sz w:val="24"/>
        </w:rPr>
      </w:pPr>
      <w:r>
        <w:fldChar w:fldCharType="begin"/>
      </w:r>
      <w:r>
        <w:instrText xml:space="preserve"> HYPERLINK \l "_Toc7733_WPSOffice_Level1" </w:instrText>
      </w:r>
      <w:r>
        <w:fldChar w:fldCharType="separate"/>
      </w:r>
      <w:r>
        <w:rPr>
          <w:rFonts w:hint="eastAsia"/>
          <w:sz w:val="24"/>
        </w:rPr>
        <w:t>第六章  附件</w:t>
      </w:r>
      <w:r>
        <w:rPr>
          <w:sz w:val="24"/>
        </w:rPr>
        <w:tab/>
      </w:r>
      <w:bookmarkStart w:id="3" w:name="_Toc7733_WPSOffice_Level1Page"/>
      <w:r>
        <w:rPr>
          <w:sz w:val="24"/>
        </w:rPr>
        <w:t>16</w:t>
      </w:r>
      <w:bookmarkEnd w:id="3"/>
      <w:r>
        <w:rPr>
          <w:sz w:val="24"/>
        </w:rPr>
        <w:fldChar w:fldCharType="end"/>
      </w:r>
      <w:bookmarkEnd w:id="1"/>
    </w:p>
    <w:p>
      <w:pPr>
        <w:pStyle w:val="53"/>
        <w:tabs>
          <w:tab w:val="right" w:leader="dot" w:pos="9026"/>
        </w:tabs>
        <w:spacing w:line="360" w:lineRule="auto"/>
        <w:rPr>
          <w:sz w:val="24"/>
        </w:rPr>
      </w:pPr>
    </w:p>
    <w:p>
      <w:pPr>
        <w:pStyle w:val="53"/>
        <w:tabs>
          <w:tab w:val="right" w:leader="dot" w:pos="9026"/>
        </w:tabs>
        <w:spacing w:line="360" w:lineRule="auto"/>
        <w:rPr>
          <w:sz w:val="24"/>
        </w:rPr>
      </w:pPr>
    </w:p>
    <w:p>
      <w:pPr>
        <w:pStyle w:val="53"/>
        <w:tabs>
          <w:tab w:val="right" w:leader="dot" w:pos="9026"/>
        </w:tabs>
        <w:spacing w:line="360" w:lineRule="auto"/>
        <w:rPr>
          <w:sz w:val="24"/>
        </w:rPr>
      </w:pPr>
    </w:p>
    <w:p>
      <w:pPr>
        <w:pStyle w:val="53"/>
        <w:tabs>
          <w:tab w:val="right" w:leader="dot" w:pos="9026"/>
        </w:tabs>
        <w:spacing w:line="360" w:lineRule="auto"/>
        <w:rPr>
          <w:sz w:val="24"/>
        </w:rPr>
      </w:pPr>
    </w:p>
    <w:p>
      <w:pPr>
        <w:pStyle w:val="53"/>
        <w:tabs>
          <w:tab w:val="right" w:leader="dot" w:pos="9026"/>
        </w:tabs>
        <w:spacing w:line="360" w:lineRule="auto"/>
        <w:rPr>
          <w:sz w:val="24"/>
        </w:rPr>
      </w:pPr>
    </w:p>
    <w:p>
      <w:pPr>
        <w:pStyle w:val="53"/>
        <w:tabs>
          <w:tab w:val="right" w:leader="dot" w:pos="9026"/>
        </w:tabs>
        <w:spacing w:line="360" w:lineRule="auto"/>
        <w:rPr>
          <w:sz w:val="24"/>
        </w:rPr>
        <w:sectPr>
          <w:footerReference r:id="rId3" w:type="default"/>
          <w:type w:val="continuous"/>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color w:val="000000"/>
          <w:sz w:val="36"/>
        </w:rPr>
      </w:pPr>
      <w:bookmarkStart w:id="4" w:name="_Toc10946_WPSOffice_Level1"/>
      <w:bookmarkStart w:id="5" w:name="_Hlk13586256"/>
      <w:bookmarkStart w:id="6" w:name="_Hlk39648029"/>
      <w:r>
        <w:rPr>
          <w:rFonts w:hint="eastAsia" w:ascii="方正小标宋简体" w:hAnsi="方正小标宋简体" w:eastAsia="方正小标宋简体" w:cs="方正小标宋简体"/>
          <w:b/>
          <w:bCs/>
          <w:color w:val="000000"/>
          <w:sz w:val="36"/>
        </w:rPr>
        <w:t>第一章  竞争性谈判邀请</w:t>
      </w:r>
      <w:bookmarkEnd w:id="4"/>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hint="eastAsia" w:ascii="宋体" w:hAnsi="宋体"/>
          <w:sz w:val="28"/>
          <w:szCs w:val="28"/>
        </w:rPr>
      </w:pPr>
      <w:r>
        <w:rPr>
          <w:rFonts w:hint="eastAsia" w:ascii="宋体" w:hAnsi="宋体"/>
          <w:sz w:val="28"/>
          <w:szCs w:val="28"/>
        </w:rPr>
        <w:t>上海飞机客户服务有限公司（下简称“客服公司”或“采购方”）诚邀贵单位参加</w:t>
      </w:r>
      <w:r>
        <w:rPr>
          <w:rFonts w:hint="eastAsia" w:ascii="宋体" w:hAnsi="宋体"/>
          <w:sz w:val="28"/>
          <w:szCs w:val="28"/>
          <w:u w:val="single"/>
        </w:rPr>
        <w:t>香港库房租赁服务</w:t>
      </w:r>
      <w:r>
        <w:rPr>
          <w:rFonts w:hint="eastAsia" w:ascii="宋体" w:hAnsi="宋体"/>
          <w:sz w:val="28"/>
          <w:szCs w:val="28"/>
        </w:rPr>
        <w:t>项目的采购，项目具体情况如下：</w:t>
      </w:r>
    </w:p>
    <w:tbl>
      <w:tblPr>
        <w:tblStyle w:val="34"/>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内容</w:t>
            </w:r>
          </w:p>
        </w:tc>
        <w:tc>
          <w:tcPr>
            <w:tcW w:w="6843" w:type="dxa"/>
            <w:vAlign w:val="center"/>
          </w:tcPr>
          <w:p>
            <w:pPr>
              <w:autoSpaceDE w:val="0"/>
              <w:autoSpaceDN w:val="0"/>
              <w:adjustRightInd w:val="0"/>
              <w:snapToGrid w:val="0"/>
              <w:spacing w:line="240" w:lineRule="auto"/>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spacing w:line="240" w:lineRule="auto"/>
              <w:jc w:val="center"/>
              <w:rPr>
                <w:rFonts w:hint="eastAsia"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1.1</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服务名称</w:t>
            </w:r>
          </w:p>
        </w:tc>
        <w:tc>
          <w:tcPr>
            <w:tcW w:w="6843"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香港库房租赁服务</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1.2</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服务概况</w:t>
            </w:r>
          </w:p>
        </w:tc>
        <w:tc>
          <w:tcPr>
            <w:tcW w:w="6843" w:type="dxa"/>
            <w:vAlign w:val="center"/>
          </w:tcPr>
          <w:p>
            <w:pPr>
              <w:autoSpaceDE w:val="0"/>
              <w:autoSpaceDN w:val="0"/>
              <w:adjustRightInd w:val="0"/>
              <w:spacing w:line="240" w:lineRule="auto"/>
              <w:jc w:val="left"/>
              <w:rPr>
                <w:rFonts w:hint="eastAsia" w:ascii="宋体" w:hAnsi="宋体"/>
                <w:sz w:val="24"/>
              </w:rPr>
            </w:pPr>
            <w:r>
              <w:rPr>
                <w:rFonts w:hint="eastAsia"/>
              </w:rPr>
              <w:t>须供应商提供香港地区范围内可租赁面积为200平方米的用于存放客服公司货物的库房。</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1.3</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服务期限</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月前</w:t>
            </w:r>
          </w:p>
          <w:p>
            <w:pPr>
              <w:autoSpaceDE w:val="0"/>
              <w:autoSpaceDN w:val="0"/>
              <w:adjustRightInd w:val="0"/>
              <w:spacing w:line="240" w:lineRule="auto"/>
              <w:ind w:left="224" w:leftChars="104" w:hanging="6"/>
              <w:jc w:val="left"/>
              <w:rPr>
                <w:rFonts w:hint="eastAsia" w:ascii="宋体" w:hAnsi="宋体"/>
                <w:sz w:val="24"/>
              </w:rPr>
            </w:pPr>
            <w:r>
              <w:rPr>
                <w:rFonts w:hint="eastAsia" w:ascii="宋体" w:hAnsi="宋体"/>
                <w:sz w:val="24"/>
              </w:rPr>
              <w:t>☑其他:</w:t>
            </w:r>
            <w:r>
              <w:rPr>
                <w:rFonts w:hint="eastAsia" w:ascii="宋体" w:hAnsi="宋体"/>
                <w:sz w:val="24"/>
                <w:u w:val="single"/>
              </w:rPr>
              <w:t>合同签订并完成验收之日起壹年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spacing w:line="240" w:lineRule="auto"/>
              <w:ind w:left="224" w:leftChars="104" w:hanging="6"/>
              <w:jc w:val="center"/>
              <w:rPr>
                <w:rFonts w:hint="eastAsia"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2.1</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邮件询问</w:t>
            </w:r>
          </w:p>
          <w:p>
            <w:pPr>
              <w:autoSpaceDE w:val="0"/>
              <w:autoSpaceDN w:val="0"/>
              <w:adjustRightInd w:val="0"/>
              <w:spacing w:line="240" w:lineRule="auto"/>
              <w:ind w:left="224" w:leftChars="104" w:hanging="6"/>
              <w:jc w:val="left"/>
              <w:rPr>
                <w:rFonts w:hint="eastAsia" w:ascii="宋体" w:hAnsi="宋体"/>
                <w:sz w:val="24"/>
              </w:rPr>
            </w:pPr>
            <w:r>
              <w:rPr>
                <w:rFonts w:hint="eastAsia" w:ascii="宋体" w:hAnsi="宋体"/>
                <w:sz w:val="24"/>
              </w:rPr>
              <w:t>□ 其他：_______________________________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2.2</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询问联系方式</w:t>
            </w:r>
          </w:p>
        </w:tc>
        <w:tc>
          <w:tcPr>
            <w:tcW w:w="6843" w:type="dxa"/>
            <w:vAlign w:val="center"/>
          </w:tcPr>
          <w:p>
            <w:pPr>
              <w:autoSpaceDE w:val="0"/>
              <w:autoSpaceDN w:val="0"/>
              <w:adjustRightInd w:val="0"/>
              <w:spacing w:after="120" w:afterLines="50" w:line="240" w:lineRule="auto"/>
              <w:ind w:left="224" w:leftChars="104" w:hanging="6"/>
              <w:jc w:val="left"/>
              <w:rPr>
                <w:rFonts w:hint="eastAsia" w:ascii="宋体" w:hAnsi="宋体" w:eastAsia="宋体"/>
                <w:sz w:val="24"/>
                <w:lang w:eastAsia="zh-CN"/>
              </w:rPr>
            </w:pPr>
            <w:r>
              <w:rPr>
                <w:rFonts w:hint="eastAsia" w:ascii="宋体" w:hAnsi="宋体"/>
                <w:sz w:val="24"/>
              </w:rPr>
              <w:t xml:space="preserve">联系人：  </w:t>
            </w:r>
            <w:r>
              <w:rPr>
                <w:rFonts w:hint="eastAsia" w:ascii="宋体" w:hAnsi="宋体"/>
                <w:sz w:val="24"/>
                <w:u w:val="single"/>
                <w:lang w:val="en-US" w:eastAsia="zh-CN"/>
              </w:rPr>
              <w:t>秦于倩</w:t>
            </w:r>
          </w:p>
          <w:p>
            <w:pPr>
              <w:autoSpaceDE w:val="0"/>
              <w:autoSpaceDN w:val="0"/>
              <w:adjustRightInd w:val="0"/>
              <w:spacing w:after="120" w:afterLines="50" w:line="240" w:lineRule="auto"/>
              <w:ind w:left="224" w:leftChars="104" w:hanging="6"/>
              <w:jc w:val="left"/>
              <w:rPr>
                <w:rFonts w:hint="default" w:ascii="宋体" w:hAnsi="宋体" w:eastAsia="宋体"/>
                <w:sz w:val="24"/>
                <w:u w:val="single"/>
                <w:lang w:val="en-US" w:eastAsia="zh-CN"/>
              </w:rPr>
            </w:pPr>
            <w:r>
              <w:rPr>
                <w:rFonts w:hint="eastAsia" w:ascii="宋体" w:hAnsi="宋体"/>
                <w:sz w:val="24"/>
              </w:rPr>
              <w:t>联系电话：</w:t>
            </w:r>
            <w:r>
              <w:rPr>
                <w:rFonts w:hint="eastAsia" w:ascii="宋体" w:hAnsi="宋体"/>
                <w:sz w:val="24"/>
                <w:u w:val="single"/>
              </w:rPr>
              <w:t>1801919</w:t>
            </w:r>
            <w:r>
              <w:rPr>
                <w:rFonts w:hint="eastAsia" w:ascii="宋体" w:hAnsi="宋体"/>
                <w:sz w:val="24"/>
                <w:u w:val="single"/>
                <w:lang w:val="en-US" w:eastAsia="zh-CN"/>
              </w:rPr>
              <w:t>6134</w:t>
            </w:r>
          </w:p>
          <w:p>
            <w:pPr>
              <w:autoSpaceDE w:val="0"/>
              <w:autoSpaceDN w:val="0"/>
              <w:adjustRightInd w:val="0"/>
              <w:spacing w:after="120" w:afterLines="50" w:line="240" w:lineRule="auto"/>
              <w:ind w:left="224" w:leftChars="104" w:hanging="6"/>
              <w:jc w:val="left"/>
              <w:rPr>
                <w:rFonts w:hint="eastAsia" w:ascii="宋体" w:hAnsi="宋体"/>
                <w:sz w:val="24"/>
              </w:rPr>
            </w:pPr>
            <w:r>
              <w:rPr>
                <w:rFonts w:hint="eastAsia" w:ascii="宋体" w:hAnsi="宋体"/>
                <w:sz w:val="24"/>
              </w:rPr>
              <w:t>联系地址：</w:t>
            </w:r>
            <w:r>
              <w:rPr>
                <w:rFonts w:hint="eastAsia" w:ascii="宋体" w:hAnsi="宋体"/>
                <w:sz w:val="24"/>
                <w:u w:val="single"/>
              </w:rPr>
              <w:t>上海</w:t>
            </w:r>
            <w:r>
              <w:rPr>
                <w:rFonts w:hint="eastAsia" w:ascii="宋体" w:hAnsi="宋体"/>
                <w:sz w:val="24"/>
                <w:u w:val="single"/>
                <w:lang w:val="en-US" w:eastAsia="zh-CN"/>
              </w:rPr>
              <w:t>市</w:t>
            </w:r>
            <w:r>
              <w:rPr>
                <w:rFonts w:hint="eastAsia" w:ascii="宋体" w:hAnsi="宋体"/>
                <w:sz w:val="24"/>
                <w:u w:val="single"/>
              </w:rPr>
              <w:t>闵行</w:t>
            </w:r>
            <w:r>
              <w:rPr>
                <w:rFonts w:hint="eastAsia" w:ascii="宋体" w:hAnsi="宋体"/>
                <w:sz w:val="24"/>
                <w:u w:val="single"/>
                <w:lang w:val="en-US" w:eastAsia="zh-CN"/>
              </w:rPr>
              <w:t>区</w:t>
            </w:r>
            <w:r>
              <w:rPr>
                <w:rFonts w:hint="eastAsia" w:ascii="宋体" w:hAnsi="宋体"/>
                <w:sz w:val="24"/>
                <w:u w:val="single"/>
              </w:rPr>
              <w:t>江川东路100号</w:t>
            </w:r>
          </w:p>
          <w:p>
            <w:pPr>
              <w:autoSpaceDE w:val="0"/>
              <w:autoSpaceDN w:val="0"/>
              <w:adjustRightInd w:val="0"/>
              <w:ind w:left="224" w:leftChars="104" w:hanging="6"/>
              <w:jc w:val="left"/>
              <w:rPr>
                <w:rFonts w:hint="eastAsia" w:ascii="宋体" w:hAnsi="宋体"/>
                <w:sz w:val="24"/>
              </w:rPr>
            </w:pPr>
            <w:r>
              <w:rPr>
                <w:rFonts w:hint="eastAsia" w:ascii="宋体" w:hAnsi="宋体"/>
                <w:sz w:val="24"/>
              </w:rPr>
              <w:t>联系邮箱：</w:t>
            </w:r>
            <w:r>
              <w:rPr>
                <w:rFonts w:hint="eastAsia" w:ascii="宋体" w:hAnsi="宋体"/>
                <w:sz w:val="24"/>
                <w:u w:val="single"/>
                <w:lang w:val="en-US" w:eastAsia="zh-CN"/>
              </w:rPr>
              <w:t>qinyuqian</w:t>
            </w:r>
            <w:r>
              <w:rPr>
                <w:rFonts w:hint="eastAsia" w:ascii="宋体" w:hAnsi="宋体"/>
                <w:sz w:val="24"/>
                <w:u w:val="single"/>
              </w:rPr>
              <w:t>@comac.cc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spacing w:line="240" w:lineRule="auto"/>
              <w:jc w:val="center"/>
              <w:rPr>
                <w:rFonts w:hint="eastAsia"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3.1</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响应文件提交方式</w:t>
            </w:r>
          </w:p>
        </w:tc>
        <w:tc>
          <w:tcPr>
            <w:tcW w:w="6843" w:type="dxa"/>
            <w:vAlign w:val="center"/>
          </w:tcPr>
          <w:p>
            <w:pPr>
              <w:autoSpaceDE w:val="0"/>
              <w:autoSpaceDN w:val="0"/>
              <w:adjustRightInd w:val="0"/>
              <w:spacing w:line="360" w:lineRule="auto"/>
              <w:ind w:firstLine="249" w:firstLineChars="104"/>
              <w:jc w:val="left"/>
              <w:rPr>
                <w:rFonts w:hint="default" w:ascii="宋体" w:hAnsi="宋体" w:eastAsia="宋体"/>
                <w:sz w:val="24"/>
                <w:lang w:val="en-US" w:eastAsia="zh-CN"/>
              </w:rPr>
            </w:pPr>
            <w:r>
              <w:rPr>
                <w:rFonts w:hint="eastAsia" w:ascii="宋体" w:hAnsi="宋体"/>
                <w:sz w:val="24"/>
              </w:rPr>
              <w:t>联系人：</w:t>
            </w:r>
            <w:r>
              <w:rPr>
                <w:rFonts w:hint="eastAsia" w:ascii="宋体" w:hAnsi="宋体"/>
                <w:sz w:val="24"/>
                <w:u w:val="single"/>
                <w:lang w:val="en-US" w:eastAsia="zh-CN"/>
              </w:rPr>
              <w:t>秦于倩</w:t>
            </w:r>
            <w:r>
              <w:rPr>
                <w:rFonts w:hint="eastAsia" w:ascii="宋体" w:hAnsi="宋体"/>
                <w:sz w:val="24"/>
              </w:rPr>
              <w:t xml:space="preserve">     联系方式：</w:t>
            </w:r>
            <w:r>
              <w:rPr>
                <w:rFonts w:hint="eastAsia" w:ascii="宋体" w:hAnsi="宋体"/>
                <w:sz w:val="24"/>
                <w:u w:val="single"/>
              </w:rPr>
              <w:t>1801919</w:t>
            </w:r>
            <w:r>
              <w:rPr>
                <w:rFonts w:hint="eastAsia" w:ascii="宋体" w:hAnsi="宋体"/>
                <w:sz w:val="24"/>
                <w:u w:val="single"/>
                <w:lang w:val="en-US" w:eastAsia="zh-CN"/>
              </w:rPr>
              <w:t>6134</w:t>
            </w:r>
          </w:p>
          <w:p>
            <w:pPr>
              <w:autoSpaceDE w:val="0"/>
              <w:autoSpaceDN w:val="0"/>
              <w:adjustRightInd w:val="0"/>
              <w:spacing w:line="360" w:lineRule="auto"/>
              <w:ind w:firstLine="249" w:firstLineChars="104"/>
              <w:jc w:val="left"/>
              <w:rPr>
                <w:rFonts w:hint="eastAsia" w:ascii="宋体" w:hAnsi="宋体"/>
                <w:sz w:val="24"/>
                <w:u w:val="single"/>
                <w:lang w:val="en-US" w:eastAsia="zh-CN"/>
              </w:rPr>
            </w:pPr>
            <w:r>
              <w:rPr>
                <w:rFonts w:hint="eastAsia" w:ascii="宋体" w:hAnsi="宋体"/>
                <w:sz w:val="24"/>
              </w:rPr>
              <w:t>☑纸质邮寄/现场送达至：</w:t>
            </w:r>
            <w:r>
              <w:rPr>
                <w:rFonts w:hint="eastAsia" w:ascii="宋体" w:hAnsi="宋体"/>
                <w:sz w:val="24"/>
                <w:u w:val="single"/>
              </w:rPr>
              <w:t>上海</w:t>
            </w:r>
            <w:r>
              <w:rPr>
                <w:rFonts w:hint="eastAsia" w:ascii="宋体" w:hAnsi="宋体"/>
                <w:sz w:val="24"/>
                <w:u w:val="single"/>
                <w:lang w:val="en-US" w:eastAsia="zh-CN"/>
              </w:rPr>
              <w:t>市</w:t>
            </w:r>
            <w:r>
              <w:rPr>
                <w:rFonts w:hint="eastAsia" w:ascii="宋体" w:hAnsi="宋体"/>
                <w:sz w:val="24"/>
                <w:u w:val="single"/>
              </w:rPr>
              <w:t>闵行</w:t>
            </w:r>
            <w:r>
              <w:rPr>
                <w:rFonts w:hint="eastAsia" w:ascii="宋体" w:hAnsi="宋体"/>
                <w:sz w:val="24"/>
                <w:u w:val="single"/>
                <w:lang w:val="en-US" w:eastAsia="zh-CN"/>
              </w:rPr>
              <w:t>区</w:t>
            </w:r>
            <w:r>
              <w:rPr>
                <w:rFonts w:hint="eastAsia" w:ascii="宋体" w:hAnsi="宋体"/>
                <w:sz w:val="24"/>
                <w:u w:val="single"/>
              </w:rPr>
              <w:t>江川东路100号</w:t>
            </w:r>
            <w:r>
              <w:rPr>
                <w:rFonts w:hint="eastAsia" w:ascii="宋体" w:hAnsi="宋体"/>
                <w:sz w:val="24"/>
                <w:u w:val="single"/>
                <w:lang w:val="en-US" w:eastAsia="zh-CN"/>
              </w:rPr>
              <w:t xml:space="preserve"> 采购与供应商管理部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☑电子提交至：</w:t>
            </w:r>
            <w:r>
              <w:rPr>
                <w:rFonts w:hint="eastAsia" w:ascii="宋体" w:hAnsi="宋体"/>
                <w:sz w:val="24"/>
                <w:u w:val="single"/>
              </w:rPr>
              <w:t>同纸质文件一起封装递交（U盘或光盘）</w:t>
            </w:r>
          </w:p>
          <w:p>
            <w:pPr>
              <w:autoSpaceDE w:val="0"/>
              <w:autoSpaceDN w:val="0"/>
              <w:adjustRightInd w:val="0"/>
              <w:spacing w:line="240" w:lineRule="auto"/>
              <w:ind w:firstLine="249" w:firstLineChars="104"/>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3.2</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响应文件必须包含内容</w:t>
            </w:r>
          </w:p>
        </w:tc>
        <w:tc>
          <w:tcPr>
            <w:tcW w:w="6843" w:type="dxa"/>
            <w:vAlign w:val="center"/>
          </w:tcPr>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w:t>
            </w:r>
            <w:r>
              <w:rPr>
                <w:rFonts w:hint="eastAsia"/>
                <w:sz w:val="24"/>
              </w:rPr>
              <w:t xml:space="preserve">竞争性谈判响应声明   </w:t>
            </w:r>
            <w:r>
              <w:rPr>
                <w:rFonts w:hint="eastAsia" w:ascii="宋体" w:hAnsi="宋体"/>
                <w:sz w:val="24"/>
              </w:rPr>
              <w:t>☑报价表   □分项报价表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☑商务要求响应表        ☑技术要求响应表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☑法定代表人声明        ☑法定代表人身份证明复印件</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☑法定代表人授权委托书（如有）</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☑授权代表人身份证复印件</w:t>
            </w:r>
          </w:p>
          <w:p>
            <w:pPr>
              <w:autoSpaceDE w:val="0"/>
              <w:autoSpaceDN w:val="0"/>
              <w:adjustRightInd w:val="0"/>
              <w:spacing w:line="240" w:lineRule="auto"/>
              <w:ind w:firstLine="249" w:firstLineChars="104"/>
              <w:jc w:val="left"/>
              <w:rPr>
                <w:rFonts w:hint="eastAsia" w:ascii="宋体" w:hAnsi="宋体"/>
                <w:sz w:val="24"/>
              </w:rPr>
            </w:pPr>
            <w:r>
              <w:rPr>
                <w:rFonts w:hint="eastAsia" w:ascii="宋体" w:hAnsi="宋体"/>
                <w:sz w:val="24"/>
                <w:lang w:eastAsia="zh-CN"/>
              </w:rPr>
              <w:t>☑</w:t>
            </w:r>
            <w:r>
              <w:rPr>
                <w:rFonts w:hint="eastAsia" w:ascii="宋体" w:hAnsi="宋体"/>
                <w:sz w:val="24"/>
              </w:rPr>
              <w:t xml:space="preserve">廉洁协议     </w:t>
            </w:r>
            <w:r>
              <w:rPr>
                <w:rFonts w:hint="eastAsia" w:ascii="宋体" w:hAnsi="宋体"/>
                <w:sz w:val="24"/>
                <w:lang w:eastAsia="zh-CN"/>
              </w:rPr>
              <w:t>☑</w:t>
            </w:r>
            <w:r>
              <w:rPr>
                <w:rFonts w:hint="eastAsia" w:ascii="宋体" w:hAnsi="宋体"/>
                <w:sz w:val="24"/>
              </w:rPr>
              <w:t>其他__</w:t>
            </w:r>
            <w:r>
              <w:rPr>
                <w:rFonts w:hint="eastAsia"/>
                <w:lang w:val="en-US" w:eastAsia="zh-CN"/>
              </w:rPr>
              <w:t>屋产权证明或库房转租授权材料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3.3</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响应文件盖章要求</w:t>
            </w:r>
          </w:p>
        </w:tc>
        <w:tc>
          <w:tcPr>
            <w:tcW w:w="6843" w:type="dxa"/>
            <w:vAlign w:val="center"/>
          </w:tcPr>
          <w:p>
            <w:pPr>
              <w:autoSpaceDE w:val="0"/>
              <w:autoSpaceDN w:val="0"/>
              <w:adjustRightInd w:val="0"/>
              <w:spacing w:before="120" w:beforeLines="50" w:line="360" w:lineRule="auto"/>
              <w:rPr>
                <w:rFonts w:hint="eastAsia" w:ascii="宋体" w:hAnsi="宋体"/>
                <w:sz w:val="24"/>
              </w:rPr>
            </w:pPr>
            <w:r>
              <w:rPr>
                <w:rFonts w:hint="eastAsia" w:ascii="宋体" w:hAnsi="宋体"/>
                <w:sz w:val="24"/>
              </w:rPr>
              <w:t>响应文件中的以下内容应加盖公章：</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响应文件（骑缝章）   ☑ 营业执照（或香港商业登记证）    ☑ 财务报表</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业绩证明   □ 质量体系认证证书  ☑ 报价表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分项报价表    ☑ </w:t>
            </w:r>
            <w:r>
              <w:rPr>
                <w:rFonts w:hint="eastAsia"/>
                <w:sz w:val="24"/>
              </w:rPr>
              <w:t>竞争性谈判响应声明</w:t>
            </w:r>
            <w:r>
              <w:rPr>
                <w:rFonts w:hint="eastAsia" w:ascii="宋体" w:hAnsi="宋体"/>
                <w:sz w:val="24"/>
              </w:rPr>
              <w:t xml:space="preserve">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法定代表人声明    ☑ 法定代表人授权委托书</w:t>
            </w:r>
          </w:p>
          <w:p>
            <w:pPr>
              <w:autoSpaceDE w:val="0"/>
              <w:autoSpaceDN w:val="0"/>
              <w:adjustRightInd w:val="0"/>
              <w:spacing w:line="240" w:lineRule="auto"/>
              <w:ind w:firstLine="240" w:firstLineChars="100"/>
              <w:jc w:val="left"/>
              <w:rPr>
                <w:rFonts w:hint="eastAsia" w:ascii="宋体" w:hAnsi="宋体"/>
                <w:b/>
                <w:bCs/>
                <w:sz w:val="24"/>
              </w:rPr>
            </w:pPr>
            <w:r>
              <w:rPr>
                <w:rFonts w:hint="eastAsia" w:ascii="宋体" w:hAnsi="宋体"/>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3.3</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截止时间</w:t>
            </w:r>
          </w:p>
        </w:tc>
        <w:tc>
          <w:tcPr>
            <w:tcW w:w="6843"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b/>
                <w:bCs/>
                <w:sz w:val="24"/>
              </w:rPr>
              <w:t>2025年</w:t>
            </w:r>
            <w:r>
              <w:rPr>
                <w:rFonts w:hint="eastAsia" w:ascii="宋体" w:hAnsi="宋体"/>
                <w:b/>
                <w:bCs/>
                <w:sz w:val="24"/>
                <w:lang w:val="en-US" w:eastAsia="zh-CN"/>
              </w:rPr>
              <w:t>6</w:t>
            </w:r>
            <w:r>
              <w:rPr>
                <w:rFonts w:hint="eastAsia" w:ascii="宋体" w:hAnsi="宋体"/>
                <w:b/>
                <w:bCs/>
                <w:sz w:val="24"/>
              </w:rPr>
              <w:t>月</w:t>
            </w:r>
            <w:r>
              <w:rPr>
                <w:rFonts w:hint="eastAsia" w:ascii="宋体" w:hAnsi="宋体"/>
                <w:b/>
                <w:bCs/>
                <w:sz w:val="24"/>
                <w:lang w:val="en-US" w:eastAsia="zh-CN"/>
              </w:rPr>
              <w:t>10</w:t>
            </w:r>
            <w:r>
              <w:rPr>
                <w:rFonts w:hint="eastAsia" w:ascii="宋体" w:hAnsi="宋体"/>
                <w:b/>
                <w:bCs/>
                <w:sz w:val="24"/>
              </w:rPr>
              <w:t>日</w:t>
            </w:r>
            <w:r>
              <w:rPr>
                <w:rFonts w:hint="eastAsia" w:ascii="宋体" w:hAnsi="宋体"/>
                <w:b/>
                <w:bCs/>
                <w:sz w:val="24"/>
                <w:lang w:val="en-US" w:eastAsia="zh-CN"/>
              </w:rPr>
              <w:t>17</w:t>
            </w:r>
            <w:bookmarkStart w:id="24" w:name="_GoBack"/>
            <w:bookmarkEnd w:id="24"/>
            <w:r>
              <w:rPr>
                <w:rFonts w:hint="eastAsia" w:ascii="宋体" w:hAnsi="宋体"/>
                <w:b/>
                <w:bCs/>
                <w:sz w:val="24"/>
              </w:rPr>
              <w:t>：00时前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3.4</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响应文件数量</w:t>
            </w:r>
          </w:p>
        </w:tc>
        <w:tc>
          <w:tcPr>
            <w:tcW w:w="6843" w:type="dxa"/>
            <w:vAlign w:val="center"/>
          </w:tcPr>
          <w:p>
            <w:pPr>
              <w:autoSpaceDE w:val="0"/>
              <w:autoSpaceDN w:val="0"/>
              <w:adjustRightInd w:val="0"/>
              <w:spacing w:line="240" w:lineRule="auto"/>
              <w:jc w:val="center"/>
              <w:rPr>
                <w:sz w:val="24"/>
              </w:rPr>
            </w:pPr>
            <w:r>
              <w:rPr>
                <w:rFonts w:hint="eastAsia"/>
                <w:sz w:val="24"/>
              </w:rPr>
              <w:t>需密封：纸质版 1 份，电子版（U盘或光盘）1 份</w:t>
            </w:r>
          </w:p>
          <w:p>
            <w:pPr>
              <w:autoSpaceDE w:val="0"/>
              <w:autoSpaceDN w:val="0"/>
              <w:adjustRightInd w:val="0"/>
              <w:spacing w:line="240" w:lineRule="auto"/>
              <w:jc w:val="center"/>
              <w:rPr>
                <w:sz w:val="24"/>
              </w:rPr>
            </w:pPr>
            <w:r>
              <w:rPr>
                <w:rFonts w:hint="eastAsia"/>
                <w:sz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3.5</w:t>
            </w:r>
          </w:p>
        </w:tc>
        <w:tc>
          <w:tcPr>
            <w:tcW w:w="1695" w:type="dxa"/>
            <w:vAlign w:val="center"/>
          </w:tcPr>
          <w:p>
            <w:pPr>
              <w:autoSpaceDE w:val="0"/>
              <w:autoSpaceDN w:val="0"/>
              <w:adjustRightInd w:val="0"/>
              <w:spacing w:line="240" w:lineRule="auto"/>
              <w:jc w:val="center"/>
              <w:rPr>
                <w:rFonts w:hint="eastAsia" w:ascii="宋体" w:hAnsi="宋体"/>
                <w:sz w:val="24"/>
              </w:rPr>
            </w:pPr>
            <w:r>
              <w:rPr>
                <w:rFonts w:hint="eastAsia" w:ascii="宋体" w:hAnsi="宋体"/>
                <w:sz w:val="24"/>
              </w:rPr>
              <w:t>响应文件有效期</w:t>
            </w:r>
          </w:p>
        </w:tc>
        <w:tc>
          <w:tcPr>
            <w:tcW w:w="6843" w:type="dxa"/>
            <w:vAlign w:val="center"/>
          </w:tcPr>
          <w:p>
            <w:pPr>
              <w:autoSpaceDE w:val="0"/>
              <w:autoSpaceDN w:val="0"/>
              <w:adjustRightInd w:val="0"/>
              <w:spacing w:line="240" w:lineRule="auto"/>
              <w:ind w:firstLine="249" w:firstLineChars="104"/>
              <w:jc w:val="center"/>
              <w:rPr>
                <w:rFonts w:hint="eastAsia" w:ascii="宋体" w:hAnsi="宋体"/>
                <w:sz w:val="24"/>
              </w:rPr>
            </w:pPr>
            <w:r>
              <w:rPr>
                <w:rFonts w:hint="eastAsia" w:ascii="宋体" w:hAnsi="宋体"/>
                <w:sz w:val="24"/>
              </w:rPr>
              <w:t>自递交响应文件之日起</w:t>
            </w:r>
            <w:r>
              <w:rPr>
                <w:rFonts w:hint="eastAsia" w:ascii="宋体" w:hAnsi="宋体"/>
                <w:sz w:val="24"/>
                <w:u w:val="single"/>
              </w:rPr>
              <w:t xml:space="preserve"> 90 </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spacing w:line="240" w:lineRule="auto"/>
              <w:ind w:firstLine="251" w:firstLineChars="104"/>
              <w:jc w:val="center"/>
              <w:rPr>
                <w:rFonts w:hint="eastAsia"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sz w:val="24"/>
              </w:rPr>
              <w:t>4.1</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报价不一致</w:t>
            </w:r>
          </w:p>
          <w:p>
            <w:pPr>
              <w:autoSpaceDE w:val="0"/>
              <w:autoSpaceDN w:val="0"/>
              <w:spacing w:line="240" w:lineRule="auto"/>
              <w:jc w:val="center"/>
              <w:rPr>
                <w:rFonts w:hint="eastAsia" w:ascii="宋体" w:hAnsi="宋体"/>
                <w:sz w:val="24"/>
              </w:rPr>
            </w:pPr>
            <w:r>
              <w:rPr>
                <w:rFonts w:hint="eastAsia" w:ascii="宋体" w:hAnsi="宋体"/>
                <w:sz w:val="24"/>
              </w:rPr>
              <w:t>评判标准</w:t>
            </w:r>
          </w:p>
        </w:tc>
        <w:tc>
          <w:tcPr>
            <w:tcW w:w="6843" w:type="dxa"/>
            <w:vAlign w:val="center"/>
          </w:tcPr>
          <w:p>
            <w:pPr>
              <w:autoSpaceDE w:val="0"/>
              <w:autoSpaceDN w:val="0"/>
              <w:spacing w:before="120" w:beforeLines="50" w:after="120" w:afterLines="50" w:line="240" w:lineRule="auto"/>
              <w:jc w:val="left"/>
              <w:rPr>
                <w:sz w:val="24"/>
              </w:rPr>
            </w:pPr>
            <w:r>
              <w:rPr>
                <w:sz w:val="24"/>
              </w:rPr>
              <w:t>如</w:t>
            </w:r>
            <w:r>
              <w:rPr>
                <w:rFonts w:hint="eastAsia"/>
                <w:sz w:val="24"/>
              </w:rPr>
              <w:t>响应</w:t>
            </w:r>
            <w:r>
              <w:rPr>
                <w:sz w:val="24"/>
              </w:rPr>
              <w:t>文件中出现报价且前后不一致的</w:t>
            </w:r>
            <w:r>
              <w:rPr>
                <w:rFonts w:hint="eastAsia"/>
                <w:sz w:val="24"/>
              </w:rPr>
              <w:t>：</w:t>
            </w:r>
          </w:p>
          <w:p>
            <w:pPr>
              <w:autoSpaceDE w:val="0"/>
              <w:autoSpaceDN w:val="0"/>
              <w:spacing w:before="120" w:beforeLines="50" w:after="120" w:afterLines="50" w:line="240" w:lineRule="auto"/>
              <w:ind w:left="224" w:leftChars="104" w:hanging="6"/>
              <w:jc w:val="left"/>
              <w:rPr>
                <w:rFonts w:hint="eastAsia" w:ascii="宋体" w:hAnsi="宋体"/>
                <w:sz w:val="24"/>
              </w:rPr>
            </w:pPr>
            <w:r>
              <w:rPr>
                <w:rFonts w:hint="eastAsia" w:ascii="宋体" w:hAnsi="宋体"/>
                <w:sz w:val="24"/>
              </w:rPr>
              <w:t>□ 以报价一览表总价（大写）为准</w:t>
            </w:r>
          </w:p>
          <w:p>
            <w:pPr>
              <w:autoSpaceDE w:val="0"/>
              <w:autoSpaceDN w:val="0"/>
              <w:spacing w:before="120" w:beforeLines="50" w:after="120" w:afterLines="50" w:line="240" w:lineRule="auto"/>
              <w:ind w:left="224" w:leftChars="104" w:hanging="6"/>
              <w:jc w:val="left"/>
              <w:rPr>
                <w:rFonts w:hint="eastAsia" w:ascii="宋体" w:hAnsi="宋体"/>
                <w:sz w:val="24"/>
              </w:rPr>
            </w:pPr>
            <w:r>
              <w:rPr>
                <w:rFonts w:hint="eastAsia" w:ascii="宋体" w:hAnsi="宋体"/>
                <w:sz w:val="24"/>
              </w:rPr>
              <w:t>□ 以分项价格表分项报价为准，修正总价</w:t>
            </w:r>
          </w:p>
          <w:p>
            <w:pPr>
              <w:autoSpaceDE w:val="0"/>
              <w:autoSpaceDN w:val="0"/>
              <w:spacing w:before="120" w:beforeLines="50" w:after="120" w:afterLines="50" w:line="240" w:lineRule="auto"/>
              <w:ind w:left="224" w:leftChars="104" w:hanging="6"/>
              <w:jc w:val="left"/>
              <w:rPr>
                <w:rFonts w:hint="eastAsia" w:ascii="宋体" w:hAnsi="宋体"/>
                <w:sz w:val="24"/>
              </w:rPr>
            </w:pPr>
            <w:r>
              <w:rPr>
                <w:rFonts w:hint="eastAsia" w:ascii="宋体" w:hAnsi="宋体"/>
                <w:sz w:val="24"/>
              </w:rPr>
              <w:t>☑ 以所有价格中最低者为准</w:t>
            </w:r>
          </w:p>
          <w:p>
            <w:pPr>
              <w:autoSpaceDE w:val="0"/>
              <w:autoSpaceDN w:val="0"/>
              <w:spacing w:before="120" w:beforeLines="50" w:after="120" w:afterLines="50" w:line="240" w:lineRule="auto"/>
              <w:ind w:left="224" w:leftChars="104" w:hanging="6"/>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cs="宋体"/>
                <w:sz w:val="24"/>
              </w:rPr>
              <w:t>4.2</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报价漏项</w:t>
            </w:r>
          </w:p>
        </w:tc>
        <w:tc>
          <w:tcPr>
            <w:tcW w:w="6843" w:type="dxa"/>
            <w:vAlign w:val="center"/>
          </w:tcPr>
          <w:p>
            <w:pPr>
              <w:autoSpaceDE w:val="0"/>
              <w:autoSpaceDN w:val="0"/>
              <w:spacing w:before="120" w:beforeLines="50" w:after="120" w:afterLines="50" w:line="240" w:lineRule="auto"/>
              <w:jc w:val="left"/>
              <w:rPr>
                <w:rFonts w:hint="eastAsia" w:ascii="宋体" w:hAnsi="宋体"/>
                <w:sz w:val="24"/>
              </w:rPr>
            </w:pPr>
            <w:r>
              <w:rPr>
                <w:rFonts w:hint="eastAsia" w:ascii="宋体" w:hAnsi="宋体"/>
                <w:sz w:val="24"/>
              </w:rPr>
              <w:t>如响应文件中分项报价漏项：</w:t>
            </w:r>
          </w:p>
          <w:p>
            <w:pPr>
              <w:autoSpaceDE w:val="0"/>
              <w:autoSpaceDN w:val="0"/>
              <w:spacing w:before="120" w:beforeLines="50" w:after="120" w:afterLines="50" w:line="240" w:lineRule="auto"/>
              <w:ind w:left="224" w:leftChars="104" w:hanging="6"/>
              <w:jc w:val="left"/>
              <w:rPr>
                <w:rFonts w:hint="eastAsia" w:ascii="宋体" w:hAnsi="宋体"/>
                <w:sz w:val="24"/>
              </w:rPr>
            </w:pPr>
            <w:r>
              <w:rPr>
                <w:rFonts w:hint="eastAsia" w:ascii="宋体" w:hAnsi="宋体"/>
                <w:sz w:val="24"/>
              </w:rPr>
              <w:t>□ 废标</w:t>
            </w:r>
          </w:p>
          <w:p>
            <w:pPr>
              <w:autoSpaceDE w:val="0"/>
              <w:autoSpaceDN w:val="0"/>
              <w:spacing w:before="120" w:beforeLines="50" w:after="120" w:afterLines="50" w:line="240" w:lineRule="auto"/>
              <w:ind w:left="224" w:leftChars="104" w:hanging="6"/>
              <w:jc w:val="left"/>
              <w:rPr>
                <w:rFonts w:hint="eastAsia" w:ascii="宋体" w:hAnsi="宋体"/>
                <w:sz w:val="24"/>
              </w:rPr>
            </w:pPr>
            <w:r>
              <w:rPr>
                <w:rFonts w:hint="eastAsia" w:ascii="宋体" w:hAnsi="宋体"/>
                <w:sz w:val="24"/>
              </w:rPr>
              <w:t>☑ 以所有响应单位响应文件中同项最高价计入总价，漏项内容需免费提供</w:t>
            </w:r>
          </w:p>
          <w:p>
            <w:pPr>
              <w:autoSpaceDE w:val="0"/>
              <w:autoSpaceDN w:val="0"/>
              <w:spacing w:before="120" w:beforeLines="50" w:after="120" w:afterLines="50" w:line="240" w:lineRule="auto"/>
              <w:ind w:firstLine="240" w:firstLineChars="100"/>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cs="宋体"/>
                <w:sz w:val="24"/>
              </w:rPr>
              <w:t>4.3</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非“*”号项条款不响应</w:t>
            </w:r>
          </w:p>
        </w:tc>
        <w:tc>
          <w:tcPr>
            <w:tcW w:w="6843" w:type="dxa"/>
            <w:vAlign w:val="center"/>
          </w:tcPr>
          <w:p>
            <w:pPr>
              <w:autoSpaceDE w:val="0"/>
              <w:autoSpaceDN w:val="0"/>
              <w:spacing w:before="120" w:beforeLines="50" w:after="120" w:afterLines="50" w:line="240" w:lineRule="auto"/>
              <w:jc w:val="left"/>
              <w:rPr>
                <w:rFonts w:hint="eastAsia" w:ascii="宋体" w:hAnsi="宋体"/>
                <w:sz w:val="24"/>
              </w:rPr>
            </w:pPr>
            <w:r>
              <w:rPr>
                <w:rFonts w:hint="eastAsia" w:ascii="宋体" w:hAnsi="宋体"/>
                <w:sz w:val="24"/>
              </w:rPr>
              <w:t>如响应文件中对非“*”号项条款不响应：</w:t>
            </w:r>
          </w:p>
          <w:p>
            <w:pPr>
              <w:autoSpaceDE w:val="0"/>
              <w:autoSpaceDN w:val="0"/>
              <w:spacing w:before="120" w:beforeLines="50" w:after="120" w:afterLines="50" w:line="240" w:lineRule="auto"/>
              <w:ind w:left="224" w:leftChars="104" w:hanging="6"/>
              <w:jc w:val="left"/>
              <w:rPr>
                <w:rFonts w:hint="eastAsia" w:ascii="宋体" w:hAnsi="宋体"/>
                <w:sz w:val="24"/>
              </w:rPr>
            </w:pPr>
            <w:r>
              <w:rPr>
                <w:rFonts w:hint="eastAsia" w:ascii="宋体" w:hAnsi="宋体"/>
                <w:sz w:val="24"/>
              </w:rPr>
              <w:t>☑ 超过  3  条（含3条）不响应，废标</w:t>
            </w:r>
          </w:p>
          <w:p>
            <w:pPr>
              <w:autoSpaceDE w:val="0"/>
              <w:autoSpaceDN w:val="0"/>
              <w:spacing w:before="120" w:beforeLines="50" w:after="120" w:afterLines="50" w:line="240" w:lineRule="auto"/>
              <w:ind w:left="224" w:leftChars="104" w:hanging="6"/>
              <w:jc w:val="left"/>
              <w:rPr>
                <w:rFonts w:hint="eastAsia" w:ascii="宋体" w:hAnsi="宋体"/>
                <w:sz w:val="24"/>
              </w:rPr>
            </w:pPr>
            <w:r>
              <w:rPr>
                <w:rFonts w:hint="eastAsia" w:ascii="宋体" w:hAnsi="宋体"/>
                <w:sz w:val="24"/>
                <w:lang w:eastAsia="zh-CN"/>
              </w:rPr>
              <w:t>□</w:t>
            </w:r>
            <w:r>
              <w:rPr>
                <w:rFonts w:hint="eastAsia" w:ascii="宋体" w:hAnsi="宋体"/>
                <w:sz w:val="24"/>
              </w:rPr>
              <w:t xml:space="preserve"> 每不响应1条非“*”号项条款，评审价格上调5%（即1条不响应上调5%，2条不响应上调10%）</w:t>
            </w:r>
          </w:p>
          <w:p>
            <w:pPr>
              <w:autoSpaceDE w:val="0"/>
              <w:autoSpaceDN w:val="0"/>
              <w:spacing w:before="120" w:beforeLines="50" w:after="120" w:afterLines="50" w:line="240" w:lineRule="auto"/>
              <w:ind w:left="224" w:leftChars="104" w:hanging="6"/>
              <w:jc w:val="left"/>
              <w:rPr>
                <w:rFonts w:hint="eastAsia" w:ascii="宋体" w:hAnsi="宋体"/>
                <w:sz w:val="24"/>
              </w:rPr>
            </w:pPr>
            <w:r>
              <w:rPr>
                <w:rFonts w:hint="eastAsia" w:ascii="宋体" w:hAnsi="宋体"/>
                <w:sz w:val="24"/>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rPr>
      </w:pPr>
      <w:bookmarkStart w:id="7" w:name="_Hlk27473954"/>
    </w:p>
    <w:bookmarkEnd w:id="5"/>
    <w:p>
      <w:pPr>
        <w:jc w:val="center"/>
        <w:outlineLvl w:val="0"/>
        <w:rPr>
          <w:rFonts w:hint="eastAsia" w:ascii="方正小标宋简体" w:hAnsi="方正小标宋简体" w:eastAsia="方正小标宋简体" w:cs="方正小标宋简体"/>
          <w:b/>
          <w:color w:val="000000"/>
          <w:sz w:val="36"/>
          <w:szCs w:val="36"/>
        </w:rPr>
      </w:pPr>
      <w:r>
        <w:rPr>
          <w:rFonts w:ascii="宋体" w:hAnsi="宋体"/>
          <w:b/>
          <w:color w:val="000000"/>
          <w:sz w:val="40"/>
        </w:rPr>
        <w:br w:type="page"/>
      </w:r>
      <w:bookmarkEnd w:id="6"/>
      <w:bookmarkEnd w:id="7"/>
      <w:bookmarkStart w:id="8" w:name="_Toc15799_WPSOffice_Level1"/>
      <w:r>
        <w:rPr>
          <w:rFonts w:hint="eastAsia" w:ascii="方正小标宋简体" w:hAnsi="方正小标宋简体" w:eastAsia="方正小标宋简体" w:cs="方正小标宋简体"/>
          <w:b/>
          <w:color w:val="000000"/>
          <w:sz w:val="36"/>
          <w:szCs w:val="36"/>
        </w:rPr>
        <w:t>第二章  响应单位须知</w:t>
      </w:r>
      <w:bookmarkEnd w:id="8"/>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1"/>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11"/>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1"/>
        <w:numPr>
          <w:ilvl w:val="0"/>
          <w:numId w:val="2"/>
        </w:numPr>
        <w:spacing w:line="400" w:lineRule="exact"/>
        <w:ind w:left="401" w:hanging="400" w:hangingChars="167"/>
        <w:rPr>
          <w:sz w:val="24"/>
        </w:rPr>
      </w:pPr>
      <w:r>
        <w:rPr>
          <w:sz w:val="24"/>
        </w:rPr>
        <w:t>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技术要求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响应单位代表为单位法定代表人，应出具法定代表人声明及法定代表人身份证明复印件（法定代表人签字或盖章）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响应单位代表如非单位法定代表人，则应提供由法定代表人出具的《法定代表人授权委托书》、法定代表人身份证明复印件（法定代表人签字或盖章）、授权代表人身份证明复印件（授权代表人签字或盖章）。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1"/>
        <w:numPr>
          <w:ilvl w:val="0"/>
          <w:numId w:val="3"/>
        </w:numPr>
        <w:spacing w:line="400" w:lineRule="exact"/>
        <w:ind w:left="401" w:hanging="400" w:hangingChars="167"/>
        <w:rPr>
          <w:sz w:val="24"/>
        </w:rPr>
      </w:pPr>
      <w:r>
        <w:rPr>
          <w:rFonts w:hint="eastAsia"/>
          <w:sz w:val="24"/>
        </w:rPr>
        <w:t>响应文件应包括下列内容：</w:t>
      </w:r>
    </w:p>
    <w:p>
      <w:pPr>
        <w:numPr>
          <w:ilvl w:val="0"/>
          <w:numId w:val="4"/>
        </w:numPr>
        <w:spacing w:line="400" w:lineRule="exact"/>
        <w:ind w:firstLine="480" w:firstLineChars="200"/>
        <w:rPr>
          <w:sz w:val="24"/>
        </w:rPr>
      </w:pPr>
      <w:r>
        <w:rPr>
          <w:rFonts w:hint="eastAsia"/>
          <w:sz w:val="24"/>
        </w:rPr>
        <w:t>本文件第一章 3.2中要求的所有文件；</w:t>
      </w:r>
    </w:p>
    <w:p>
      <w:pPr>
        <w:numPr>
          <w:ilvl w:val="0"/>
          <w:numId w:val="4"/>
        </w:numPr>
        <w:spacing w:line="400" w:lineRule="exact"/>
        <w:ind w:firstLine="480" w:firstLineChars="200"/>
        <w:rPr>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11"/>
        <w:numPr>
          <w:ilvl w:val="0"/>
          <w:numId w:val="3"/>
        </w:numPr>
        <w:spacing w:line="400" w:lineRule="exact"/>
        <w:ind w:left="401" w:hanging="400" w:hangingChars="167"/>
        <w:rPr>
          <w:sz w:val="24"/>
        </w:rPr>
      </w:pPr>
      <w:r>
        <w:rPr>
          <w:rFonts w:hint="eastAsia"/>
          <w:sz w:val="24"/>
        </w:rPr>
        <w:t>响应单位应完整地填写本文件中提供的报价一览表和分项报价表。</w:t>
      </w:r>
    </w:p>
    <w:p>
      <w:pPr>
        <w:pStyle w:val="11"/>
        <w:numPr>
          <w:ilvl w:val="0"/>
          <w:numId w:val="3"/>
        </w:numPr>
        <w:spacing w:line="400" w:lineRule="exact"/>
        <w:ind w:left="402" w:hanging="402" w:hangingChars="167"/>
        <w:rPr>
          <w:rFonts w:hint="eastAsia" w:ascii="宋体" w:hAnsi="宋体" w:cs="宋体"/>
          <w:sz w:val="24"/>
        </w:rPr>
      </w:pPr>
      <w:r>
        <w:rPr>
          <w:rFonts w:hint="eastAsia" w:ascii="宋体" w:hAnsi="宋体" w:cs="宋体"/>
          <w:b/>
          <w:bCs/>
          <w:sz w:val="24"/>
        </w:rPr>
        <w:t>响应单位</w:t>
      </w:r>
      <w:r>
        <w:rPr>
          <w:rFonts w:hint="eastAsia" w:ascii="宋体" w:hAnsi="宋体" w:cs="宋体"/>
          <w:b/>
          <w:bCs/>
          <w:spacing w:val="-4"/>
          <w:sz w:val="24"/>
        </w:rPr>
        <w:t>应根据邀请文件的要求提供服务方案等内容,</w:t>
      </w:r>
      <w:r>
        <w:rPr>
          <w:rFonts w:hint="eastAsia" w:ascii="宋体" w:hAnsi="宋体" w:cs="宋体"/>
          <w:b/>
          <w:bCs/>
          <w:spacing w:val="-3"/>
          <w:sz w:val="24"/>
        </w:rPr>
        <w:t>以佐证对服务要求的响应。</w:t>
      </w:r>
    </w:p>
    <w:p>
      <w:pPr>
        <w:pStyle w:val="11"/>
        <w:numPr>
          <w:ilvl w:val="0"/>
          <w:numId w:val="3"/>
        </w:numPr>
        <w:spacing w:line="400" w:lineRule="exact"/>
        <w:ind w:left="401" w:hanging="400" w:hangingChars="167"/>
        <w:rPr>
          <w:sz w:val="24"/>
        </w:rPr>
      </w:pPr>
      <w:r>
        <w:rPr>
          <w:rFonts w:hint="eastAsia"/>
          <w:sz w:val="24"/>
        </w:rPr>
        <w:t>本文件所指“公章”指需要响应单位的公司章，“投标专用章”、“合同专用章”等均不属于公章。</w:t>
      </w:r>
      <w:r>
        <w:rPr>
          <w:rFonts w:hint="eastAsia"/>
          <w:sz w:val="24"/>
        </w:rPr>
        <w:tab/>
      </w:r>
    </w:p>
    <w:p>
      <w:pPr>
        <w:pStyle w:val="11"/>
        <w:numPr>
          <w:ilvl w:val="0"/>
          <w:numId w:val="3"/>
        </w:numPr>
        <w:spacing w:line="400" w:lineRule="exact"/>
        <w:ind w:left="401" w:hanging="400" w:hangingChars="167"/>
        <w:rPr>
          <w:sz w:val="24"/>
        </w:rPr>
      </w:pPr>
      <w:r>
        <w:rPr>
          <w:rFonts w:hint="eastAsia"/>
          <w:sz w:val="24"/>
        </w:rPr>
        <w:t>响应文件的纸质版本应打印或用不褪色墨水书写，不得有任何修改。提供的电子版本应为响应文件纸质版的扫描件（红或蓝章）。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竞争性谈判步骤：</w:t>
      </w:r>
    </w:p>
    <w:p>
      <w:pPr>
        <w:pStyle w:val="11"/>
        <w:numPr>
          <w:ilvl w:val="0"/>
          <w:numId w:val="5"/>
        </w:numPr>
        <w:spacing w:line="400" w:lineRule="exact"/>
        <w:ind w:left="417" w:leftChars="9" w:hanging="398" w:hangingChars="166"/>
        <w:rPr>
          <w:sz w:val="24"/>
        </w:rPr>
      </w:pPr>
      <w:r>
        <w:rPr>
          <w:rFonts w:hint="eastAsia"/>
          <w:sz w:val="24"/>
        </w:rPr>
        <w:t>所有被邀请单位于规定的时间截止前提交响应文件。</w:t>
      </w:r>
    </w:p>
    <w:p>
      <w:pPr>
        <w:pStyle w:val="11"/>
        <w:numPr>
          <w:ilvl w:val="0"/>
          <w:numId w:val="5"/>
        </w:numPr>
        <w:spacing w:line="400" w:lineRule="exact"/>
        <w:ind w:left="417" w:leftChars="9" w:hanging="398" w:hangingChars="166"/>
        <w:rPr>
          <w:sz w:val="24"/>
        </w:rPr>
      </w:pPr>
      <w:r>
        <w:rPr>
          <w:rFonts w:hint="eastAsia"/>
          <w:sz w:val="24"/>
        </w:rPr>
        <w:t>客服公司组建供应商选择工作小组组织开标（响应单位无需到场）。</w:t>
      </w:r>
    </w:p>
    <w:p>
      <w:pPr>
        <w:pStyle w:val="11"/>
        <w:numPr>
          <w:ilvl w:val="0"/>
          <w:numId w:val="5"/>
        </w:numPr>
        <w:spacing w:line="400" w:lineRule="exact"/>
        <w:ind w:left="417" w:leftChars="9" w:hanging="398" w:hangingChars="166"/>
        <w:rPr>
          <w:sz w:val="24"/>
        </w:rPr>
      </w:pPr>
      <w:r>
        <w:rPr>
          <w:rFonts w:hint="eastAsia"/>
          <w:sz w:val="24"/>
        </w:rPr>
        <w:t>供应商选择工作小组按照竞争性谈判文件要求开展评审，评审过程中，供应商选择工作小组可与受邀供应商开展谈判，谈判后供应商应提交最终版的响应文件及报价。</w:t>
      </w:r>
    </w:p>
    <w:p>
      <w:pPr>
        <w:pStyle w:val="11"/>
        <w:numPr>
          <w:ilvl w:val="0"/>
          <w:numId w:val="5"/>
        </w:numPr>
        <w:spacing w:line="400" w:lineRule="exact"/>
        <w:ind w:left="417" w:leftChars="9" w:hanging="398" w:hangingChars="166"/>
        <w:rPr>
          <w:sz w:val="24"/>
        </w:rPr>
      </w:pPr>
      <w:r>
        <w:rPr>
          <w:rFonts w:hint="eastAsia"/>
          <w:sz w:val="24"/>
        </w:rPr>
        <w:t>供应商选择工作小组选择满足竞争性谈判文件实质性要求，并且经评审最优的供应商为成交候选人。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1"/>
        <w:spacing w:line="400" w:lineRule="exact"/>
        <w:ind w:left="-10" w:leftChars="-5" w:firstLine="480"/>
        <w:rPr>
          <w:sz w:val="24"/>
        </w:rPr>
      </w:pPr>
      <w:r>
        <w:rPr>
          <w:rFonts w:hint="eastAsia"/>
          <w:sz w:val="24"/>
        </w:rPr>
        <w:t>响应单位有以下情况的，响应文件将认定无效。</w:t>
      </w:r>
    </w:p>
    <w:p>
      <w:pPr>
        <w:pStyle w:val="11"/>
        <w:numPr>
          <w:ilvl w:val="0"/>
          <w:numId w:val="6"/>
        </w:numPr>
        <w:spacing w:line="400" w:lineRule="exact"/>
        <w:ind w:left="401" w:hanging="400" w:hangingChars="167"/>
        <w:rPr>
          <w:sz w:val="24"/>
        </w:rPr>
      </w:pPr>
      <w:r>
        <w:rPr>
          <w:rFonts w:hint="eastAsia"/>
          <w:sz w:val="24"/>
        </w:rPr>
        <w:t>不同响应单位的响应文件由同一单位或者个人编制；</w:t>
      </w:r>
    </w:p>
    <w:p>
      <w:pPr>
        <w:pStyle w:val="11"/>
        <w:numPr>
          <w:ilvl w:val="0"/>
          <w:numId w:val="6"/>
        </w:numPr>
        <w:spacing w:line="400" w:lineRule="exact"/>
        <w:ind w:left="401" w:hanging="400" w:hangingChars="167"/>
        <w:rPr>
          <w:sz w:val="24"/>
        </w:rPr>
      </w:pPr>
      <w:r>
        <w:rPr>
          <w:rFonts w:hint="eastAsia"/>
          <w:sz w:val="24"/>
        </w:rPr>
        <w:t>不同响应单位委托同一单位或者个人办理响应事宜；</w:t>
      </w:r>
    </w:p>
    <w:p>
      <w:pPr>
        <w:pStyle w:val="11"/>
        <w:numPr>
          <w:ilvl w:val="0"/>
          <w:numId w:val="6"/>
        </w:numPr>
        <w:spacing w:line="400" w:lineRule="exact"/>
        <w:ind w:left="401" w:hanging="400" w:hangingChars="167"/>
        <w:rPr>
          <w:sz w:val="24"/>
        </w:rPr>
      </w:pPr>
      <w:r>
        <w:rPr>
          <w:rFonts w:hint="eastAsia"/>
          <w:sz w:val="24"/>
        </w:rPr>
        <w:t>不同响应单位的响应文件载明的项目管理成员或者联系人员为同一人；</w:t>
      </w:r>
    </w:p>
    <w:p>
      <w:pPr>
        <w:pStyle w:val="11"/>
        <w:numPr>
          <w:ilvl w:val="0"/>
          <w:numId w:val="6"/>
        </w:numPr>
        <w:spacing w:line="400" w:lineRule="exact"/>
        <w:ind w:left="401" w:hanging="400" w:hangingChars="167"/>
        <w:rPr>
          <w:sz w:val="24"/>
        </w:rPr>
      </w:pPr>
      <w:r>
        <w:rPr>
          <w:rFonts w:hint="eastAsia"/>
          <w:sz w:val="24"/>
        </w:rPr>
        <w:t>不同响应单位的响应文件存在异常一致的错误；</w:t>
      </w:r>
    </w:p>
    <w:p>
      <w:pPr>
        <w:pStyle w:val="11"/>
        <w:numPr>
          <w:ilvl w:val="0"/>
          <w:numId w:val="6"/>
        </w:numPr>
        <w:spacing w:line="400" w:lineRule="exact"/>
        <w:ind w:left="401" w:hanging="400" w:hangingChars="167"/>
        <w:rPr>
          <w:sz w:val="24"/>
        </w:rPr>
      </w:pPr>
      <w:r>
        <w:rPr>
          <w:rFonts w:hint="eastAsia"/>
          <w:sz w:val="24"/>
        </w:rPr>
        <w:t>不同响应单位的响应文件相互混装。</w:t>
      </w:r>
    </w:p>
    <w:p>
      <w:pPr>
        <w:pStyle w:val="11"/>
        <w:spacing w:line="400" w:lineRule="exact"/>
        <w:ind w:firstLine="0" w:firstLineChars="0"/>
        <w:rPr>
          <w:sz w:val="24"/>
        </w:rPr>
      </w:pPr>
    </w:p>
    <w:p>
      <w:pPr>
        <w:jc w:val="center"/>
        <w:outlineLvl w:val="0"/>
      </w:pPr>
      <w:bookmarkStart w:id="9" w:name="_Hlk11752017"/>
      <w:bookmarkStart w:id="10" w:name="_Hlk11751980"/>
    </w:p>
    <w:p>
      <w:pPr>
        <w:jc w:val="center"/>
        <w:outlineLvl w:val="0"/>
      </w:pPr>
    </w:p>
    <w:p>
      <w:pPr>
        <w:jc w:val="center"/>
        <w:outlineLvl w:val="0"/>
        <w:rPr>
          <w:rFonts w:hint="eastAsia" w:ascii="方正小标宋简体" w:hAnsi="方正小标宋简体" w:eastAsia="方正小标宋简体" w:cs="方正小标宋简体"/>
          <w:b/>
          <w:color w:val="000000"/>
          <w:sz w:val="36"/>
          <w:szCs w:val="36"/>
        </w:rPr>
      </w:pPr>
      <w:r>
        <w:br w:type="page"/>
      </w:r>
      <w:bookmarkStart w:id="11" w:name="_Toc31820_WPSOffice_Level1"/>
      <w:r>
        <w:rPr>
          <w:rFonts w:hint="eastAsia" w:ascii="方正小标宋简体" w:hAnsi="方正小标宋简体" w:eastAsia="方正小标宋简体" w:cs="方正小标宋简体"/>
          <w:b/>
          <w:color w:val="000000"/>
          <w:sz w:val="36"/>
          <w:szCs w:val="36"/>
        </w:rPr>
        <w:t>第三章  评审办法</w:t>
      </w:r>
      <w:bookmarkEnd w:id="11"/>
    </w:p>
    <w:p>
      <w:pPr>
        <w:adjustRightInd w:val="0"/>
        <w:snapToGrid w:val="0"/>
        <w:spacing w:line="360" w:lineRule="auto"/>
        <w:ind w:firstLine="480" w:firstLineChars="200"/>
        <w:rPr>
          <w:rFonts w:ascii="Calibri" w:hAnsi="Calibri" w:cs="Calibri"/>
          <w:snapToGrid w:val="0"/>
          <w:color w:val="000000"/>
          <w:sz w:val="24"/>
        </w:rPr>
      </w:pPr>
      <w:bookmarkStart w:id="12"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客服公司组建的供应商选择工作小组负责</w:t>
      </w:r>
      <w:r>
        <w:rPr>
          <w:rFonts w:ascii="Calibri" w:hAnsi="Calibri" w:cs="Calibri"/>
          <w:snapToGrid w:val="0"/>
          <w:sz w:val="24"/>
          <w:lang w:eastAsia="ko-KR"/>
        </w:rPr>
        <w:t>。</w:t>
      </w:r>
      <w:r>
        <w:rPr>
          <w:rFonts w:hint="eastAsia" w:ascii="Calibri" w:hAnsi="Calibri" w:cs="Calibri"/>
          <w:snapToGrid w:val="0"/>
          <w:sz w:val="24"/>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营业执照</w:t>
            </w:r>
          </w:p>
        </w:tc>
        <w:tc>
          <w:tcPr>
            <w:tcW w:w="5790"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未提供合法有效工商营业执照（或香港商业登记证）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spacing w:line="240" w:lineRule="auto"/>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供应商名称</w:t>
            </w:r>
          </w:p>
        </w:tc>
        <w:tc>
          <w:tcPr>
            <w:tcW w:w="5790" w:type="dxa"/>
            <w:vAlign w:val="center"/>
          </w:tcPr>
          <w:p>
            <w:pPr>
              <w:spacing w:line="240" w:lineRule="auto"/>
              <w:jc w:val="center"/>
              <w:rPr>
                <w:rFonts w:hint="eastAsia" w:ascii="宋体" w:hAnsi="宋体"/>
                <w:szCs w:val="21"/>
              </w:rPr>
            </w:pPr>
            <w:r>
              <w:rPr>
                <w:rFonts w:hint="eastAsia" w:ascii="宋体" w:hAnsi="宋体"/>
                <w:szCs w:val="21"/>
              </w:rPr>
              <w:t>与营业执照（或香港商业登记证）、资质证书等不一致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spacing w:line="240" w:lineRule="auto"/>
              <w:jc w:val="center"/>
              <w:rPr>
                <w:rFonts w:hint="eastAsia"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spacing w:line="240" w:lineRule="auto"/>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spacing w:line="240" w:lineRule="auto"/>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240" w:lineRule="auto"/>
              <w:jc w:val="center"/>
              <w:rPr>
                <w:rFonts w:hint="eastAsia" w:ascii="宋体" w:hAnsi="宋体"/>
                <w:szCs w:val="21"/>
              </w:rPr>
            </w:pPr>
            <w:r>
              <w:rPr>
                <w:rFonts w:hint="eastAsia" w:ascii="宋体" w:hAnsi="宋体"/>
                <w:szCs w:val="21"/>
              </w:rPr>
              <w:t>服务期限或付款方式</w:t>
            </w:r>
          </w:p>
        </w:tc>
        <w:tc>
          <w:tcPr>
            <w:tcW w:w="5790" w:type="dxa"/>
            <w:vAlign w:val="center"/>
          </w:tcPr>
          <w:p>
            <w:pPr>
              <w:spacing w:line="240" w:lineRule="auto"/>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spacing w:line="240" w:lineRule="auto"/>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供应商选择工作小组可自行决定与供应商开展商务谈判，谈判将与响应单位单独进行，谈判内容应仅限于对响应文件内容的确认以及对价格的谈判。谈判需形成书面文件，所有参与商务谈判的人员需签字确认。响应单位有义务配合供应商选择工作小组的约谈要求。如响应单位拒绝供应商选择工作小组的谈判要求，供应商选择工作小组可视同其文件内容不作变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bookmarkEnd w:id="12"/>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sz w:val="24"/>
        </w:rPr>
      </w:pPr>
      <w:r>
        <w:rPr>
          <w:rFonts w:hint="eastAsia"/>
          <w:sz w:val="24"/>
        </w:rPr>
        <w:t>评审步骤如下：</w:t>
      </w:r>
    </w:p>
    <w:p>
      <w:pPr>
        <w:numPr>
          <w:ilvl w:val="0"/>
          <w:numId w:val="8"/>
        </w:numPr>
        <w:spacing w:line="400" w:lineRule="exact"/>
        <w:ind w:firstLine="480" w:firstLineChars="200"/>
        <w:rPr>
          <w:sz w:val="24"/>
        </w:rPr>
      </w:pPr>
      <w:r>
        <w:rPr>
          <w:rFonts w:hint="eastAsia"/>
          <w:sz w:val="24"/>
        </w:rPr>
        <w:t>确认最终报价</w:t>
      </w:r>
    </w:p>
    <w:p>
      <w:pPr>
        <w:spacing w:line="400" w:lineRule="exact"/>
        <w:ind w:firstLine="480" w:firstLineChars="200"/>
        <w:rPr>
          <w:sz w:val="24"/>
        </w:rPr>
      </w:pPr>
      <w:r>
        <w:rPr>
          <w:rFonts w:hint="eastAsia"/>
          <w:sz w:val="24"/>
        </w:rPr>
        <w:t>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sz w:val="24"/>
        </w:rPr>
      </w:pPr>
      <w:r>
        <w:rPr>
          <w:rFonts w:hint="eastAsia"/>
          <w:sz w:val="24"/>
        </w:rPr>
        <w:t>价格调整</w:t>
      </w:r>
    </w:p>
    <w:p>
      <w:pPr>
        <w:spacing w:line="400" w:lineRule="exact"/>
        <w:ind w:firstLine="480" w:firstLineChars="200"/>
        <w:rPr>
          <w:sz w:val="24"/>
        </w:rPr>
      </w:pPr>
      <w:r>
        <w:rPr>
          <w:rFonts w:hint="eastAsia"/>
          <w:sz w:val="24"/>
        </w:rPr>
        <w:t>如响应文件中报价有错误，供应商选择工作小组将对价格进行调整，调整原则如下：</w:t>
      </w:r>
    </w:p>
    <w:p>
      <w:pPr>
        <w:numPr>
          <w:ilvl w:val="0"/>
          <w:numId w:val="9"/>
        </w:numPr>
        <w:spacing w:line="400" w:lineRule="exact"/>
        <w:ind w:firstLine="480" w:firstLineChars="200"/>
        <w:rPr>
          <w:sz w:val="24"/>
        </w:rPr>
      </w:pPr>
      <w:r>
        <w:rPr>
          <w:rFonts w:hint="eastAsia"/>
          <w:sz w:val="24"/>
        </w:rPr>
        <w:t>总价与单价不一致，按照本文件第一章第4.1条“报价不一致评判标准”调整价格</w:t>
      </w:r>
    </w:p>
    <w:p>
      <w:pPr>
        <w:numPr>
          <w:ilvl w:val="0"/>
          <w:numId w:val="9"/>
        </w:numPr>
        <w:spacing w:line="400" w:lineRule="exact"/>
        <w:ind w:firstLine="480" w:firstLineChars="200"/>
        <w:rPr>
          <w:sz w:val="24"/>
        </w:rPr>
      </w:pPr>
      <w:r>
        <w:rPr>
          <w:rFonts w:hint="eastAsia"/>
          <w:sz w:val="24"/>
        </w:rPr>
        <w:t>报价漏项，按照本文件第一章4.2“报价漏项”调整价格</w:t>
      </w:r>
    </w:p>
    <w:p>
      <w:pPr>
        <w:numPr>
          <w:ilvl w:val="0"/>
          <w:numId w:val="9"/>
        </w:numPr>
        <w:spacing w:line="400" w:lineRule="exact"/>
        <w:ind w:firstLine="480" w:firstLineChars="200"/>
        <w:rPr>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sz w:val="24"/>
        </w:rPr>
      </w:pPr>
      <w:r>
        <w:rPr>
          <w:rFonts w:hint="eastAsia"/>
          <w:sz w:val="24"/>
        </w:rPr>
        <w:t>确认评标价格</w:t>
      </w:r>
    </w:p>
    <w:p>
      <w:pPr>
        <w:spacing w:line="400" w:lineRule="exact"/>
        <w:ind w:firstLine="480" w:firstLineChars="200"/>
        <w:rPr>
          <w:sz w:val="24"/>
        </w:rPr>
      </w:pPr>
      <w:r>
        <w:rPr>
          <w:rFonts w:hint="eastAsia"/>
          <w:sz w:val="24"/>
        </w:rPr>
        <w:t>供应商选择工作小组认定通过符合性评审的、经过价格调整的响应单位的最终价格为评标价格，经过谈判后有提供最后报价的，以最后报价为评标价格。</w:t>
      </w:r>
    </w:p>
    <w:p>
      <w:pPr>
        <w:numPr>
          <w:ilvl w:val="0"/>
          <w:numId w:val="8"/>
        </w:numPr>
        <w:spacing w:line="400" w:lineRule="exact"/>
        <w:ind w:firstLine="480" w:firstLineChars="200"/>
        <w:rPr>
          <w:sz w:val="24"/>
        </w:rPr>
      </w:pPr>
      <w:r>
        <w:rPr>
          <w:rFonts w:hint="eastAsia"/>
          <w:sz w:val="24"/>
        </w:rPr>
        <w:t>推荐成交候选人</w:t>
      </w:r>
    </w:p>
    <w:p>
      <w:pPr>
        <w:spacing w:line="400" w:lineRule="exact"/>
        <w:ind w:firstLine="480" w:firstLineChars="200"/>
        <w:rPr>
          <w:sz w:val="24"/>
        </w:rPr>
      </w:pPr>
      <w:r>
        <w:rPr>
          <w:rFonts w:hint="eastAsia"/>
          <w:sz w:val="24"/>
        </w:rPr>
        <w:t>供应商选择工作小组根据评标价格，按价格由低到高推荐2-3名成交候选人，有以下特殊情况时，按照下述情况处理：</w:t>
      </w:r>
    </w:p>
    <w:p>
      <w:pPr>
        <w:numPr>
          <w:ilvl w:val="0"/>
          <w:numId w:val="10"/>
        </w:numPr>
        <w:spacing w:line="400" w:lineRule="exact"/>
        <w:ind w:firstLine="480" w:firstLineChars="200"/>
        <w:rPr>
          <w:sz w:val="24"/>
        </w:rPr>
      </w:pPr>
      <w:r>
        <w:rPr>
          <w:rFonts w:hint="eastAsia"/>
          <w:sz w:val="24"/>
        </w:rPr>
        <w:t>当出现2家以上的评标价格相同时，由供应商选择工作小组通过讨论确定排序。</w:t>
      </w:r>
    </w:p>
    <w:p>
      <w:pPr>
        <w:numPr>
          <w:ilvl w:val="0"/>
          <w:numId w:val="10"/>
        </w:numPr>
        <w:spacing w:line="400" w:lineRule="exact"/>
        <w:ind w:firstLine="480" w:firstLineChars="200"/>
        <w:rPr>
          <w:sz w:val="24"/>
        </w:rPr>
      </w:pPr>
      <w:r>
        <w:rPr>
          <w:rFonts w:hint="eastAsia"/>
          <w:sz w:val="24"/>
        </w:rPr>
        <w:t>当最终评审时仅有1家响应单位时，如评标价格为最低价或非最低价但技术能力较优，则可推荐为成交候选人。其余情况，供应商选择工作小组应当认为本项目竞争性不足，不推荐成交候选人。</w:t>
      </w:r>
    </w:p>
    <w:p>
      <w:pPr>
        <w:numPr>
          <w:ilvl w:val="0"/>
          <w:numId w:val="10"/>
        </w:numPr>
        <w:spacing w:line="400" w:lineRule="exact"/>
        <w:ind w:firstLine="480" w:firstLineChars="200"/>
        <w:rPr>
          <w:sz w:val="24"/>
        </w:rPr>
      </w:pPr>
      <w:r>
        <w:rPr>
          <w:rFonts w:hint="eastAsia"/>
          <w:sz w:val="24"/>
        </w:rPr>
        <w:t>当供应商选择工作小组认为所有评标价格均较高时，可以不推荐成交候选人。</w:t>
      </w:r>
    </w:p>
    <w:p>
      <w:pPr>
        <w:numPr>
          <w:ilvl w:val="0"/>
          <w:numId w:val="10"/>
        </w:numPr>
        <w:spacing w:line="400" w:lineRule="exact"/>
        <w:ind w:firstLine="480" w:firstLineChars="200"/>
        <w:rPr>
          <w:sz w:val="24"/>
        </w:rPr>
      </w:pPr>
      <w:r>
        <w:rPr>
          <w:rFonts w:hint="eastAsia"/>
          <w:sz w:val="24"/>
        </w:rPr>
        <w:t>当最低评标价格低于其他有效响应单位的评标价格算术平均数的</w:t>
      </w:r>
      <w:r>
        <w:rPr>
          <w:rFonts w:hint="eastAsia"/>
          <w:sz w:val="24"/>
          <w:u w:val="single"/>
        </w:rPr>
        <w:t>50</w:t>
      </w:r>
      <w:r>
        <w:rPr>
          <w:rFonts w:hint="eastAsia"/>
          <w:sz w:val="24"/>
        </w:rPr>
        <w:t>%时，供应商选择工作小组应当要求该供应商作出书面说明并提供相关证明材料。</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sz w:val="24"/>
        </w:rPr>
      </w:pPr>
      <w:r>
        <w:rPr>
          <w:rFonts w:hint="eastAsia"/>
          <w:sz w:val="24"/>
        </w:rPr>
        <w:t>供应商选择工作小组根据成交候选人名单，确定排名第1的供应商为成交供应商。</w:t>
      </w:r>
    </w:p>
    <w:p>
      <w:pPr>
        <w:spacing w:line="440" w:lineRule="exact"/>
        <w:ind w:firstLine="630" w:firstLineChars="300"/>
        <w:rPr>
          <w:rFonts w:hint="eastAsia" w:ascii="宋体" w:hAnsi="宋体"/>
          <w:szCs w:val="21"/>
        </w:rPr>
      </w:pPr>
    </w:p>
    <w:p>
      <w:pPr>
        <w:adjustRightInd w:val="0"/>
        <w:snapToGrid w:val="0"/>
        <w:spacing w:line="360" w:lineRule="auto"/>
        <w:jc w:val="center"/>
        <w:rPr>
          <w:rFonts w:hint="eastAsia" w:ascii="宋体" w:hAnsi="宋体"/>
          <w:b/>
          <w:sz w:val="28"/>
          <w:szCs w:val="28"/>
        </w:rPr>
      </w:pPr>
    </w:p>
    <w:p>
      <w:pPr>
        <w:jc w:val="center"/>
        <w:outlineLvl w:val="0"/>
        <w:rPr>
          <w:rFonts w:hint="eastAsia" w:ascii="方正小标宋简体" w:hAnsi="方正小标宋简体" w:eastAsia="方正小标宋简体" w:cs="方正小标宋简体"/>
          <w:b/>
          <w:color w:val="000000"/>
          <w:sz w:val="36"/>
          <w:szCs w:val="36"/>
        </w:rPr>
      </w:pPr>
      <w:r>
        <w:rPr>
          <w:rFonts w:ascii="宋体" w:hAnsi="宋体"/>
          <w:kern w:val="44"/>
          <w:szCs w:val="21"/>
        </w:rPr>
        <w:br w:type="page"/>
      </w:r>
      <w:bookmarkStart w:id="13" w:name="_Toc742_WPSOffice_Level1"/>
      <w:r>
        <w:rPr>
          <w:rFonts w:hint="eastAsia" w:ascii="方正小标宋简体" w:hAnsi="方正小标宋简体" w:eastAsia="方正小标宋简体" w:cs="方正小标宋简体"/>
          <w:b/>
          <w:color w:val="000000"/>
          <w:sz w:val="36"/>
          <w:szCs w:val="36"/>
        </w:rPr>
        <w:t>第四章  商务要求</w:t>
      </w:r>
      <w:bookmarkEnd w:id="13"/>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本章使用的条款为带“■”的条款，响应单位应提供相应的证明文件。如提供的是打印件或复印件，需法定代表人或其授权代表签字或加盖公章。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4"/>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line="240" w:lineRule="auto"/>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line="240" w:lineRule="auto"/>
              <w:ind w:left="249" w:leftChars="104" w:hanging="31" w:hangingChars="13"/>
              <w:jc w:val="left"/>
              <w:rPr>
                <w:sz w:val="24"/>
              </w:rPr>
            </w:pPr>
            <w:r>
              <w:rPr>
                <w:rFonts w:hint="eastAsia" w:ascii="宋体" w:hAnsi="宋体"/>
                <w:sz w:val="24"/>
              </w:rPr>
              <w:t xml:space="preserve">☑ </w:t>
            </w:r>
            <w:r>
              <w:rPr>
                <w:rFonts w:hint="eastAsia"/>
                <w:sz w:val="24"/>
              </w:rPr>
              <w:t>响应单位</w:t>
            </w:r>
            <w:r>
              <w:rPr>
                <w:sz w:val="24"/>
              </w:rPr>
              <w:t>应提供最新年检的企业法人营业执照、组织机构代码证、税务登记证及其他相应资质文件。（若三证合一，只需提供企业法人营业执照）</w:t>
            </w:r>
            <w:r>
              <w:rPr>
                <w:rFonts w:hint="eastAsia"/>
                <w:sz w:val="24"/>
              </w:rPr>
              <w:t>。如为香港企业，提供香港商业登记证。</w:t>
            </w:r>
          </w:p>
          <w:p>
            <w:pPr>
              <w:autoSpaceDE w:val="0"/>
              <w:autoSpaceDN w:val="0"/>
              <w:spacing w:before="120" w:beforeLines="50" w:after="120" w:afterLines="50" w:line="240" w:lineRule="auto"/>
              <w:ind w:left="249" w:leftChars="104" w:hanging="31" w:hangingChars="13"/>
              <w:jc w:val="left"/>
              <w:rPr>
                <w:sz w:val="24"/>
              </w:rPr>
            </w:pPr>
            <w:r>
              <w:rPr>
                <w:rFonts w:hint="eastAsia" w:ascii="宋体" w:hAnsi="宋体"/>
                <w:sz w:val="24"/>
              </w:rPr>
              <w:t>□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sz w:val="24"/>
              </w:rPr>
              <w:t>2</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注册资金</w:t>
            </w:r>
          </w:p>
        </w:tc>
        <w:tc>
          <w:tcPr>
            <w:tcW w:w="6604" w:type="dxa"/>
            <w:vAlign w:val="center"/>
          </w:tcPr>
          <w:p>
            <w:pPr>
              <w:autoSpaceDE w:val="0"/>
              <w:autoSpaceDN w:val="0"/>
              <w:spacing w:before="120" w:beforeLines="50" w:after="120" w:afterLines="50" w:line="240" w:lineRule="auto"/>
              <w:ind w:left="225" w:leftChars="102" w:hanging="11"/>
              <w:jc w:val="left"/>
              <w:rPr>
                <w:sz w:val="24"/>
              </w:rPr>
            </w:pPr>
            <w:r>
              <w:rPr>
                <w:rFonts w:hint="eastAsia" w:ascii="宋体" w:hAnsi="宋体"/>
                <w:sz w:val="24"/>
              </w:rPr>
              <w:t>□ 响应单位注册资金不低于</w:t>
            </w:r>
            <w:r>
              <w:rPr>
                <w:rFonts w:hint="eastAsia" w:ascii="宋体" w:hAnsi="宋体"/>
                <w:sz w:val="24"/>
                <w:u w:val="single"/>
              </w:rPr>
              <w:t xml:space="preserve">  </w:t>
            </w:r>
            <w:r>
              <w:rPr>
                <w:rFonts w:hint="eastAsia" w:ascii="宋体" w:hAnsi="宋体"/>
                <w:sz w:val="24"/>
              </w:rPr>
              <w:t>万元，营业执照无法体现的，需提供额外证明材料或承诺函。</w:t>
            </w:r>
          </w:p>
          <w:p>
            <w:pPr>
              <w:autoSpaceDE w:val="0"/>
              <w:autoSpaceDN w:val="0"/>
              <w:spacing w:before="120" w:beforeLines="50" w:after="120" w:afterLines="50" w:line="240" w:lineRule="auto"/>
              <w:ind w:left="427" w:leftChars="103" w:hanging="211" w:hangingChars="88"/>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sz w:val="24"/>
              </w:rPr>
              <w:t>3</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财务状况</w:t>
            </w:r>
          </w:p>
        </w:tc>
        <w:tc>
          <w:tcPr>
            <w:tcW w:w="6604" w:type="dxa"/>
            <w:vAlign w:val="center"/>
          </w:tcPr>
          <w:p>
            <w:pPr>
              <w:autoSpaceDE w:val="0"/>
              <w:autoSpaceDN w:val="0"/>
              <w:spacing w:before="120" w:beforeLines="50" w:after="120" w:afterLines="50" w:line="240" w:lineRule="auto"/>
              <w:ind w:left="249" w:leftChars="104" w:hanging="31" w:hangingChars="13"/>
              <w:jc w:val="left"/>
              <w:rPr>
                <w:rFonts w:hint="eastAsia" w:ascii="宋体" w:hAnsi="宋体"/>
                <w:sz w:val="24"/>
              </w:rPr>
            </w:pPr>
            <w:r>
              <w:rPr>
                <w:rFonts w:hint="eastAsia" w:ascii="宋体" w:hAnsi="宋体"/>
                <w:sz w:val="24"/>
              </w:rPr>
              <w:t>☑ 提供近</w:t>
            </w:r>
            <w:r>
              <w:rPr>
                <w:rFonts w:hint="eastAsia" w:ascii="宋体" w:hAnsi="宋体"/>
                <w:sz w:val="24"/>
                <w:u w:val="single"/>
              </w:rPr>
              <w:t xml:space="preserve"> 3  </w:t>
            </w:r>
            <w:r>
              <w:rPr>
                <w:rFonts w:hint="eastAsia" w:ascii="宋体" w:hAnsi="宋体"/>
                <w:sz w:val="24"/>
              </w:rPr>
              <w:t>年（2021-2023）的财务报表，包括利润表及现金流量表。（成立不足</w:t>
            </w:r>
            <w:r>
              <w:rPr>
                <w:rFonts w:hint="eastAsia" w:ascii="宋体" w:hAnsi="宋体"/>
                <w:sz w:val="24"/>
                <w:u w:val="single"/>
              </w:rPr>
              <w:t xml:space="preserve"> 3 </w:t>
            </w:r>
            <w:r>
              <w:rPr>
                <w:rFonts w:hint="eastAsia" w:ascii="宋体" w:hAnsi="宋体"/>
                <w:sz w:val="24"/>
              </w:rPr>
              <w:t>年的提供自公司成立起至今的财务报表）。</w:t>
            </w:r>
          </w:p>
          <w:p>
            <w:pPr>
              <w:autoSpaceDE w:val="0"/>
              <w:autoSpaceDN w:val="0"/>
              <w:spacing w:before="120" w:beforeLines="50" w:after="120" w:afterLines="50" w:line="240" w:lineRule="auto"/>
              <w:ind w:left="249" w:leftChars="104"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cs="宋体"/>
                <w:sz w:val="24"/>
              </w:rPr>
              <w:t>*</w:t>
            </w:r>
            <w:r>
              <w:rPr>
                <w:rFonts w:hint="eastAsia" w:ascii="宋体" w:hAnsi="宋体"/>
                <w:sz w:val="24"/>
              </w:rPr>
              <w:t>4</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line="240" w:lineRule="auto"/>
              <w:ind w:left="222" w:leftChars="103" w:hanging="6"/>
              <w:jc w:val="left"/>
              <w:rPr>
                <w:sz w:val="24"/>
              </w:rPr>
            </w:pPr>
            <w:r>
              <w:rPr>
                <w:rFonts w:hint="eastAsia" w:ascii="宋体" w:hAnsi="宋体"/>
                <w:sz w:val="24"/>
              </w:rPr>
              <w:t xml:space="preserve">☑ </w:t>
            </w:r>
            <w:r>
              <w:rPr>
                <w:rFonts w:hint="eastAsia"/>
                <w:sz w:val="24"/>
              </w:rPr>
              <w:t>响应单位</w:t>
            </w:r>
            <w:r>
              <w:rPr>
                <w:sz w:val="24"/>
              </w:rPr>
              <w:t>近</w:t>
            </w:r>
            <w:r>
              <w:rPr>
                <w:rFonts w:hint="eastAsia" w:ascii="宋体" w:hAnsi="宋体"/>
                <w:sz w:val="24"/>
                <w:u w:val="single"/>
              </w:rPr>
              <w:t xml:space="preserve"> 3 </w:t>
            </w:r>
            <w:r>
              <w:rPr>
                <w:sz w:val="24"/>
              </w:rPr>
              <w:t>年（</w:t>
            </w:r>
            <w:r>
              <w:rPr>
                <w:rFonts w:hint="eastAsia" w:ascii="宋体" w:hAnsi="宋体"/>
                <w:sz w:val="24"/>
                <w:u w:val="single"/>
              </w:rPr>
              <w:t xml:space="preserve">2022 </w:t>
            </w:r>
            <w:r>
              <w:rPr>
                <w:sz w:val="24"/>
              </w:rPr>
              <w:t>年~</w:t>
            </w:r>
            <w:r>
              <w:rPr>
                <w:rFonts w:hint="eastAsia" w:ascii="宋体" w:hAnsi="宋体"/>
                <w:sz w:val="24"/>
                <w:u w:val="single"/>
                <w:lang w:val="en-US" w:eastAsia="zh-CN"/>
              </w:rPr>
              <w:t>至今</w:t>
            </w:r>
            <w:r>
              <w:rPr>
                <w:sz w:val="24"/>
              </w:rPr>
              <w:t>）应有</w:t>
            </w:r>
            <w:r>
              <w:rPr>
                <w:rFonts w:hint="eastAsia"/>
                <w:sz w:val="24"/>
              </w:rPr>
              <w:t>不低于</w:t>
            </w:r>
            <w:r>
              <w:rPr>
                <w:rFonts w:hint="eastAsia" w:ascii="宋体" w:hAnsi="宋体"/>
                <w:sz w:val="24"/>
                <w:u w:val="single"/>
              </w:rPr>
              <w:t xml:space="preserve"> 1 </w:t>
            </w:r>
            <w:r>
              <w:rPr>
                <w:rFonts w:hint="eastAsia" w:ascii="宋体" w:hAnsi="宋体"/>
                <w:sz w:val="24"/>
              </w:rPr>
              <w:t>份与</w:t>
            </w:r>
            <w:r>
              <w:rPr>
                <w:sz w:val="24"/>
              </w:rPr>
              <w:t>本次</w:t>
            </w:r>
            <w:r>
              <w:rPr>
                <w:rFonts w:hint="eastAsia"/>
                <w:sz w:val="24"/>
              </w:rPr>
              <w:t>采购服务</w:t>
            </w:r>
            <w:r>
              <w:rPr>
                <w:sz w:val="24"/>
              </w:rPr>
              <w:t>相同或类似</w:t>
            </w:r>
            <w:r>
              <w:rPr>
                <w:rFonts w:hint="eastAsia"/>
                <w:sz w:val="24"/>
              </w:rPr>
              <w:t>的</w:t>
            </w:r>
            <w:r>
              <w:rPr>
                <w:sz w:val="24"/>
              </w:rPr>
              <w:t>业绩，提供合同复印件作为证明材料（合同复印件须能认定签署日期、</w:t>
            </w:r>
            <w:r>
              <w:rPr>
                <w:rFonts w:hint="eastAsia"/>
                <w:sz w:val="24"/>
              </w:rPr>
              <w:t>服务</w:t>
            </w:r>
            <w:r>
              <w:rPr>
                <w:sz w:val="24"/>
              </w:rPr>
              <w:t>内容、合同签订方，否则将作为无效证明材料）</w:t>
            </w:r>
            <w:r>
              <w:rPr>
                <w:rFonts w:hint="eastAsia"/>
                <w:sz w:val="24"/>
              </w:rPr>
              <w:t>。</w:t>
            </w:r>
          </w:p>
          <w:p>
            <w:pPr>
              <w:autoSpaceDE w:val="0"/>
              <w:autoSpaceDN w:val="0"/>
              <w:spacing w:before="120" w:beforeLines="50" w:after="120" w:afterLines="50" w:line="240" w:lineRule="auto"/>
              <w:ind w:left="222" w:leftChars="103" w:hanging="6"/>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sz w:val="24"/>
              </w:rPr>
              <w:t>*5</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付款条款</w:t>
            </w:r>
          </w:p>
        </w:tc>
        <w:tc>
          <w:tcPr>
            <w:tcW w:w="6604" w:type="dxa"/>
            <w:vAlign w:val="center"/>
          </w:tcPr>
          <w:p>
            <w:pPr>
              <w:pStyle w:val="3"/>
              <w:spacing w:after="0"/>
              <w:ind w:left="216" w:leftChars="103" w:firstLine="2"/>
              <w:jc w:val="both"/>
              <w:rPr>
                <w:rFonts w:hint="eastAsia" w:ascii="宋体" w:hAnsi="宋体"/>
                <w:b w:val="0"/>
                <w:bCs w:val="0"/>
                <w:sz w:val="24"/>
              </w:rPr>
            </w:pPr>
            <w:r>
              <w:rPr>
                <w:rFonts w:hint="eastAsia" w:ascii="宋体" w:hAnsi="宋体"/>
                <w:sz w:val="24"/>
              </w:rPr>
              <w:t>□ 按以下模式一次性付款：</w:t>
            </w:r>
          </w:p>
          <w:p>
            <w:pPr>
              <w:pStyle w:val="3"/>
              <w:spacing w:after="0"/>
              <w:ind w:left="420" w:firstLine="480" w:firstLineChars="200"/>
              <w:jc w:val="both"/>
              <w:rPr>
                <w:rFonts w:hint="eastAsia" w:ascii="宋体" w:hAnsi="宋体"/>
                <w:b w:val="0"/>
                <w:bCs w:val="0"/>
                <w:sz w:val="24"/>
              </w:rPr>
            </w:pPr>
            <w:r>
              <w:rPr>
                <w:rFonts w:hint="eastAsia" w:ascii="宋体" w:hAnsi="宋体"/>
                <w:b w:val="0"/>
                <w:bCs w:val="0"/>
                <w:sz w:val="24"/>
              </w:rPr>
              <w:t>验收合格并收到成交单位按客服公司要求开具的真实合法有效的发票后一次性支付全部款项。</w:t>
            </w:r>
          </w:p>
          <w:p>
            <w:pPr>
              <w:pStyle w:val="3"/>
              <w:spacing w:after="0"/>
              <w:ind w:left="647" w:leftChars="104" w:hanging="429" w:hangingChars="178"/>
              <w:jc w:val="left"/>
              <w:rPr>
                <w:rFonts w:hint="eastAsia" w:ascii="宋体" w:hAnsi="宋体"/>
                <w:b w:val="0"/>
                <w:bCs w:val="0"/>
                <w:sz w:val="24"/>
              </w:rPr>
            </w:pPr>
            <w:r>
              <w:rPr>
                <w:rFonts w:hint="eastAsia" w:ascii="宋体" w:hAnsi="宋体"/>
                <w:sz w:val="24"/>
              </w:rPr>
              <w:t>□ 按以下模式分期付款（适用于非一次性付款的工装类货物）</w:t>
            </w:r>
          </w:p>
          <w:p>
            <w:pPr>
              <w:pStyle w:val="3"/>
              <w:numPr>
                <w:ilvl w:val="0"/>
                <w:numId w:val="12"/>
              </w:numPr>
              <w:spacing w:after="0"/>
              <w:ind w:left="825" w:hanging="405"/>
              <w:jc w:val="left"/>
              <w:rPr>
                <w:rFonts w:hint="eastAsia" w:ascii="宋体" w:hAnsi="宋体"/>
                <w:b w:val="0"/>
                <w:bCs w:val="0"/>
                <w:sz w:val="24"/>
              </w:rPr>
            </w:pPr>
            <w:r>
              <w:rPr>
                <w:rFonts w:hint="eastAsia" w:ascii="宋体" w:hAnsi="宋体"/>
                <w:b w:val="0"/>
                <w:bCs w:val="0"/>
                <w:sz w:val="24"/>
              </w:rPr>
              <w:t>预付款：人民币</w:t>
            </w:r>
            <w:r>
              <w:rPr>
                <w:rFonts w:hint="eastAsia" w:ascii="宋体" w:hAnsi="宋体"/>
                <w:sz w:val="24"/>
                <w:u w:val="single"/>
              </w:rPr>
              <w:t xml:space="preserve">      </w:t>
            </w:r>
            <w:r>
              <w:rPr>
                <w:rFonts w:hint="eastAsia" w:ascii="宋体" w:hAnsi="宋体"/>
                <w:b w:val="0"/>
                <w:bCs w:val="0"/>
                <w:sz w:val="24"/>
              </w:rPr>
              <w:t>元，客服公司应于本合同生效日起</w:t>
            </w:r>
            <w:r>
              <w:rPr>
                <w:rFonts w:hint="eastAsia" w:ascii="宋体" w:hAnsi="宋体"/>
                <w:sz w:val="24"/>
                <w:u w:val="single"/>
              </w:rPr>
              <w:t xml:space="preserve">    </w:t>
            </w:r>
            <w:r>
              <w:rPr>
                <w:rFonts w:hint="eastAsia" w:ascii="宋体" w:hAnsi="宋体"/>
                <w:b w:val="0"/>
                <w:bCs w:val="0"/>
                <w:sz w:val="24"/>
              </w:rPr>
              <w:t>日内支付，成交单位在收到款项之日起</w:t>
            </w:r>
            <w:r>
              <w:rPr>
                <w:rFonts w:hint="eastAsia" w:ascii="宋体" w:hAnsi="宋体"/>
                <w:sz w:val="24"/>
                <w:u w:val="single"/>
              </w:rPr>
              <w:t xml:space="preserve">   </w:t>
            </w:r>
            <w:r>
              <w:rPr>
                <w:rFonts w:hint="eastAsia" w:ascii="宋体" w:hAnsi="宋体"/>
                <w:b w:val="0"/>
                <w:bCs w:val="0"/>
                <w:sz w:val="24"/>
              </w:rPr>
              <w:t>日内开具预付款收据。</w:t>
            </w:r>
          </w:p>
          <w:p>
            <w:pPr>
              <w:pStyle w:val="3"/>
              <w:numPr>
                <w:ilvl w:val="0"/>
                <w:numId w:val="12"/>
              </w:numPr>
              <w:spacing w:after="0"/>
              <w:ind w:left="825" w:hanging="405"/>
              <w:jc w:val="left"/>
              <w:rPr>
                <w:rFonts w:hint="eastAsia" w:ascii="宋体" w:hAnsi="宋体"/>
                <w:b w:val="0"/>
                <w:bCs w:val="0"/>
                <w:sz w:val="24"/>
              </w:rPr>
            </w:pPr>
            <w:r>
              <w:rPr>
                <w:rFonts w:hint="eastAsia" w:ascii="宋体" w:hAnsi="宋体"/>
                <w:b w:val="0"/>
                <w:bCs w:val="0"/>
                <w:sz w:val="24"/>
              </w:rPr>
              <w:t>第二期付款：人民币</w:t>
            </w:r>
            <w:r>
              <w:rPr>
                <w:rFonts w:hint="eastAsia" w:ascii="宋体" w:hAnsi="宋体"/>
                <w:sz w:val="24"/>
                <w:u w:val="single"/>
              </w:rPr>
              <w:t xml:space="preserve">      </w:t>
            </w:r>
            <w:r>
              <w:rPr>
                <w:rFonts w:hint="eastAsia" w:ascii="宋体" w:hAnsi="宋体"/>
                <w:b w:val="0"/>
                <w:bCs w:val="0"/>
                <w:sz w:val="24"/>
              </w:rPr>
              <w:t>元，成交单位应于工装完成预验收并收到客服公司提供的设备预验收报告后向客服公司开具累计至第二期付款金额的真实合法有效的发票，客服公司在收到发票之日起</w:t>
            </w:r>
            <w:r>
              <w:rPr>
                <w:rFonts w:hint="eastAsia" w:ascii="宋体" w:hAnsi="宋体"/>
                <w:sz w:val="24"/>
                <w:u w:val="single"/>
              </w:rPr>
              <w:t xml:space="preserve">    </w:t>
            </w:r>
            <w:r>
              <w:rPr>
                <w:rFonts w:hint="eastAsia" w:ascii="宋体" w:hAnsi="宋体"/>
                <w:b w:val="0"/>
                <w:bCs w:val="0"/>
                <w:sz w:val="24"/>
              </w:rPr>
              <w:t>日内支付。[注：第二期付款是预验收款，如无需预验收则可视情况删除]</w:t>
            </w:r>
          </w:p>
          <w:p>
            <w:pPr>
              <w:pStyle w:val="3"/>
              <w:numPr>
                <w:ilvl w:val="0"/>
                <w:numId w:val="12"/>
              </w:numPr>
              <w:spacing w:after="0"/>
              <w:ind w:left="825" w:hanging="405"/>
              <w:jc w:val="left"/>
              <w:rPr>
                <w:rFonts w:hint="eastAsia" w:ascii="宋体" w:hAnsi="宋体"/>
                <w:b w:val="0"/>
                <w:bCs w:val="0"/>
                <w:sz w:val="24"/>
              </w:rPr>
            </w:pPr>
            <w:r>
              <w:rPr>
                <w:rFonts w:hint="eastAsia" w:ascii="宋体" w:hAnsi="宋体"/>
                <w:b w:val="0"/>
                <w:bCs w:val="0"/>
                <w:sz w:val="24"/>
              </w:rPr>
              <w:t>第三期付款：人民币</w:t>
            </w:r>
            <w:r>
              <w:rPr>
                <w:rFonts w:hint="eastAsia" w:ascii="宋体" w:hAnsi="宋体"/>
                <w:sz w:val="24"/>
                <w:u w:val="single"/>
              </w:rPr>
              <w:t xml:space="preserve">      </w:t>
            </w:r>
            <w:r>
              <w:rPr>
                <w:rFonts w:hint="eastAsia" w:ascii="宋体" w:hAnsi="宋体"/>
                <w:b w:val="0"/>
                <w:bCs w:val="0"/>
                <w:sz w:val="24"/>
              </w:rPr>
              <w:t>元，成交单位应于工装验收合格之日起</w:t>
            </w:r>
            <w:r>
              <w:rPr>
                <w:rFonts w:hint="eastAsia" w:ascii="宋体" w:hAnsi="宋体"/>
                <w:sz w:val="24"/>
                <w:u w:val="single"/>
              </w:rPr>
              <w:t xml:space="preserve">    </w:t>
            </w:r>
            <w:r>
              <w:rPr>
                <w:rFonts w:hint="eastAsia" w:ascii="宋体" w:hAnsi="宋体"/>
                <w:b w:val="0"/>
                <w:bCs w:val="0"/>
                <w:sz w:val="24"/>
              </w:rPr>
              <w:t>日内按客服公司要求开具合同剩余金额的真实合法有效的发票，客服公司在收到发票之日起</w:t>
            </w:r>
            <w:r>
              <w:rPr>
                <w:rFonts w:hint="eastAsia" w:ascii="宋体" w:hAnsi="宋体"/>
                <w:sz w:val="24"/>
                <w:u w:val="single"/>
              </w:rPr>
              <w:t xml:space="preserve">    </w:t>
            </w:r>
            <w:r>
              <w:rPr>
                <w:rFonts w:hint="eastAsia" w:ascii="宋体" w:hAnsi="宋体"/>
                <w:b w:val="0"/>
                <w:bCs w:val="0"/>
                <w:sz w:val="24"/>
              </w:rPr>
              <w:t>日内支付。</w:t>
            </w:r>
          </w:p>
          <w:p>
            <w:pPr>
              <w:pStyle w:val="3"/>
              <w:numPr>
                <w:ilvl w:val="0"/>
                <w:numId w:val="12"/>
              </w:numPr>
              <w:ind w:left="825" w:hanging="405"/>
              <w:jc w:val="left"/>
              <w:rPr>
                <w:rFonts w:hint="eastAsia" w:ascii="宋体" w:hAnsi="宋体"/>
                <w:b w:val="0"/>
                <w:bCs w:val="0"/>
                <w:sz w:val="24"/>
              </w:rPr>
            </w:pPr>
            <w:r>
              <w:rPr>
                <w:rFonts w:hint="eastAsia" w:ascii="宋体" w:hAnsi="宋体"/>
                <w:b w:val="0"/>
                <w:bCs w:val="0"/>
                <w:sz w:val="24"/>
              </w:rPr>
              <w:t>第四期付款：人民币</w:t>
            </w:r>
            <w:r>
              <w:rPr>
                <w:rFonts w:hint="eastAsia" w:ascii="宋体" w:hAnsi="宋体"/>
                <w:sz w:val="24"/>
                <w:u w:val="single"/>
              </w:rPr>
              <w:t xml:space="preserve">      </w:t>
            </w:r>
            <w:r>
              <w:rPr>
                <w:rFonts w:hint="eastAsia" w:ascii="宋体" w:hAnsi="宋体"/>
                <w:b w:val="0"/>
                <w:bCs w:val="0"/>
                <w:sz w:val="24"/>
              </w:rPr>
              <w:t>元，客服公司于工装质保期期满之日起</w:t>
            </w:r>
            <w:r>
              <w:rPr>
                <w:rFonts w:hint="eastAsia" w:ascii="宋体" w:hAnsi="宋体"/>
                <w:sz w:val="24"/>
                <w:u w:val="single"/>
              </w:rPr>
              <w:t xml:space="preserve">    </w:t>
            </w:r>
            <w:r>
              <w:rPr>
                <w:rFonts w:hint="eastAsia" w:ascii="宋体" w:hAnsi="宋体"/>
                <w:b w:val="0"/>
                <w:bCs w:val="0"/>
                <w:sz w:val="24"/>
              </w:rPr>
              <w:t>日内支付。</w:t>
            </w:r>
          </w:p>
          <w:p>
            <w:pPr>
              <w:spacing w:before="120" w:beforeLines="50" w:after="120" w:afterLines="50" w:line="240" w:lineRule="auto"/>
              <w:ind w:left="216" w:leftChars="103" w:firstLine="2"/>
              <w:rPr>
                <w:rFonts w:hint="eastAsia" w:ascii="宋体" w:hAnsi="宋体"/>
                <w:sz w:val="24"/>
              </w:rPr>
            </w:pPr>
            <w:r>
              <w:rPr>
                <w:rFonts w:hint="eastAsia" w:ascii="宋体" w:hAnsi="宋体"/>
                <w:b/>
                <w:bCs/>
                <w:sz w:val="24"/>
              </w:rPr>
              <w:t>□ 按以下模式分期付款（适用于非一次性付款的设备类货物）</w:t>
            </w:r>
          </w:p>
          <w:p>
            <w:pPr>
              <w:pStyle w:val="3"/>
              <w:numPr>
                <w:ilvl w:val="0"/>
                <w:numId w:val="13"/>
              </w:numPr>
              <w:spacing w:after="0"/>
              <w:ind w:left="825" w:hanging="405"/>
              <w:jc w:val="left"/>
              <w:rPr>
                <w:rFonts w:hint="eastAsia" w:ascii="宋体" w:hAnsi="宋体"/>
                <w:b w:val="0"/>
                <w:bCs w:val="0"/>
                <w:sz w:val="24"/>
              </w:rPr>
            </w:pPr>
            <w:r>
              <w:rPr>
                <w:rFonts w:hint="eastAsia" w:ascii="宋体" w:hAnsi="宋体"/>
                <w:b w:val="0"/>
                <w:bCs w:val="0"/>
                <w:sz w:val="24"/>
              </w:rPr>
              <w:t>第一期付款：预付款人民币</w:t>
            </w:r>
            <w:r>
              <w:rPr>
                <w:rFonts w:hint="eastAsia" w:ascii="宋体" w:hAnsi="宋体"/>
                <w:sz w:val="24"/>
                <w:u w:val="single"/>
              </w:rPr>
              <w:t xml:space="preserve">      </w:t>
            </w:r>
            <w:r>
              <w:rPr>
                <w:rFonts w:hint="eastAsia" w:ascii="宋体" w:hAnsi="宋体"/>
                <w:b w:val="0"/>
                <w:bCs w:val="0"/>
                <w:sz w:val="24"/>
              </w:rPr>
              <w:t>元，客服公司应于本合同生效日起</w:t>
            </w:r>
            <w:r>
              <w:rPr>
                <w:rFonts w:hint="eastAsia" w:ascii="宋体" w:hAnsi="宋体"/>
                <w:sz w:val="24"/>
                <w:u w:val="single"/>
              </w:rPr>
              <w:t xml:space="preserve">    </w:t>
            </w:r>
            <w:r>
              <w:rPr>
                <w:rFonts w:hint="eastAsia" w:ascii="宋体" w:hAnsi="宋体"/>
                <w:b w:val="0"/>
                <w:bCs w:val="0"/>
                <w:sz w:val="24"/>
              </w:rPr>
              <w:t>日内支付，成交单位在收到款项之日起</w:t>
            </w:r>
            <w:r>
              <w:rPr>
                <w:rFonts w:hint="eastAsia" w:ascii="宋体" w:hAnsi="宋体"/>
                <w:sz w:val="24"/>
                <w:u w:val="single"/>
              </w:rPr>
              <w:t xml:space="preserve">    </w:t>
            </w:r>
            <w:r>
              <w:rPr>
                <w:rFonts w:hint="eastAsia" w:ascii="宋体" w:hAnsi="宋体"/>
                <w:b w:val="0"/>
                <w:bCs w:val="0"/>
                <w:sz w:val="24"/>
              </w:rPr>
              <w:t>日内开具预付款收据。</w:t>
            </w:r>
          </w:p>
          <w:p>
            <w:pPr>
              <w:pStyle w:val="3"/>
              <w:numPr>
                <w:ilvl w:val="0"/>
                <w:numId w:val="13"/>
              </w:numPr>
              <w:spacing w:after="0"/>
              <w:ind w:left="825" w:hanging="405"/>
              <w:jc w:val="left"/>
              <w:rPr>
                <w:rFonts w:hint="eastAsia" w:ascii="宋体" w:hAnsi="宋体"/>
                <w:b w:val="0"/>
                <w:bCs w:val="0"/>
                <w:sz w:val="24"/>
              </w:rPr>
            </w:pPr>
            <w:r>
              <w:rPr>
                <w:rFonts w:hint="eastAsia" w:ascii="宋体" w:hAnsi="宋体"/>
                <w:b w:val="0"/>
                <w:bCs w:val="0"/>
                <w:sz w:val="24"/>
              </w:rPr>
              <w:t>第二期付款：人民币</w:t>
            </w:r>
            <w:r>
              <w:rPr>
                <w:rFonts w:hint="eastAsia" w:ascii="宋体" w:hAnsi="宋体"/>
                <w:sz w:val="24"/>
                <w:u w:val="single"/>
              </w:rPr>
              <w:t xml:space="preserve">      </w:t>
            </w:r>
            <w:r>
              <w:rPr>
                <w:rFonts w:hint="eastAsia" w:ascii="宋体" w:hAnsi="宋体"/>
                <w:b w:val="0"/>
                <w:bCs w:val="0"/>
                <w:sz w:val="24"/>
              </w:rPr>
              <w:t>元，成交单位应于设备完成预验收并收到甲方提供的设备预验收报告后向客服公司开具累计至第二期付款金额的发票，客服公司在收到发票之日起</w:t>
            </w:r>
            <w:r>
              <w:rPr>
                <w:rFonts w:hint="eastAsia" w:ascii="宋体" w:hAnsi="宋体"/>
                <w:b w:val="0"/>
                <w:bCs w:val="0"/>
                <w:sz w:val="24"/>
                <w:u w:val="single"/>
              </w:rPr>
              <w:t xml:space="preserve">   </w:t>
            </w:r>
            <w:r>
              <w:rPr>
                <w:rFonts w:hint="eastAsia" w:ascii="宋体" w:hAnsi="宋体"/>
                <w:b w:val="0"/>
                <w:bCs w:val="0"/>
                <w:sz w:val="24"/>
              </w:rPr>
              <w:t>日内支付。</w:t>
            </w:r>
          </w:p>
          <w:p>
            <w:pPr>
              <w:pStyle w:val="3"/>
              <w:numPr>
                <w:ilvl w:val="0"/>
                <w:numId w:val="13"/>
              </w:numPr>
              <w:spacing w:after="0"/>
              <w:ind w:left="825" w:hanging="405"/>
              <w:jc w:val="left"/>
              <w:rPr>
                <w:rFonts w:hint="eastAsia" w:ascii="宋体" w:hAnsi="宋体"/>
                <w:b w:val="0"/>
                <w:bCs w:val="0"/>
                <w:sz w:val="24"/>
              </w:rPr>
            </w:pPr>
            <w:r>
              <w:rPr>
                <w:rFonts w:hint="eastAsia" w:ascii="宋体" w:hAnsi="宋体"/>
                <w:b w:val="0"/>
                <w:bCs w:val="0"/>
                <w:sz w:val="24"/>
              </w:rPr>
              <w:t>第三期付款：人民币</w:t>
            </w:r>
            <w:r>
              <w:rPr>
                <w:rFonts w:hint="eastAsia" w:ascii="宋体" w:hAnsi="宋体"/>
                <w:sz w:val="24"/>
                <w:u w:val="single"/>
              </w:rPr>
              <w:t xml:space="preserve">      </w:t>
            </w:r>
            <w:r>
              <w:rPr>
                <w:rFonts w:hint="eastAsia" w:ascii="宋体" w:hAnsi="宋体"/>
                <w:b w:val="0"/>
                <w:bCs w:val="0"/>
                <w:sz w:val="24"/>
              </w:rPr>
              <w:t>元，成交单位应于设备验收合格之日起</w:t>
            </w:r>
            <w:r>
              <w:rPr>
                <w:rFonts w:hint="eastAsia" w:ascii="宋体" w:hAnsi="宋体"/>
                <w:sz w:val="24"/>
                <w:u w:val="single"/>
              </w:rPr>
              <w:t xml:space="preserve">    </w:t>
            </w:r>
            <w:r>
              <w:rPr>
                <w:rFonts w:hint="eastAsia" w:ascii="宋体" w:hAnsi="宋体"/>
                <w:b w:val="0"/>
                <w:bCs w:val="0"/>
                <w:sz w:val="24"/>
              </w:rPr>
              <w:t>日内按客服公司要求开具合同剩余金额的发票,客服公司收到发票之日起</w:t>
            </w:r>
            <w:r>
              <w:rPr>
                <w:rFonts w:hint="eastAsia" w:ascii="宋体" w:hAnsi="宋体"/>
                <w:b w:val="0"/>
                <w:bCs w:val="0"/>
                <w:sz w:val="24"/>
                <w:u w:val="single"/>
              </w:rPr>
              <w:t xml:space="preserve">   </w:t>
            </w:r>
            <w:r>
              <w:rPr>
                <w:rFonts w:hint="eastAsia" w:ascii="宋体" w:hAnsi="宋体"/>
                <w:b w:val="0"/>
                <w:bCs w:val="0"/>
                <w:sz w:val="24"/>
              </w:rPr>
              <w:t>日内支付。</w:t>
            </w:r>
          </w:p>
          <w:p>
            <w:pPr>
              <w:pStyle w:val="3"/>
              <w:numPr>
                <w:ilvl w:val="0"/>
                <w:numId w:val="13"/>
              </w:numPr>
              <w:spacing w:after="0"/>
              <w:ind w:left="825" w:hanging="405"/>
              <w:jc w:val="left"/>
              <w:rPr>
                <w:rFonts w:hint="eastAsia" w:ascii="宋体" w:hAnsi="宋体"/>
                <w:b w:val="0"/>
                <w:bCs w:val="0"/>
                <w:sz w:val="24"/>
              </w:rPr>
            </w:pPr>
            <w:r>
              <w:rPr>
                <w:rFonts w:hint="eastAsia" w:ascii="宋体" w:hAnsi="宋体"/>
                <w:b w:val="0"/>
                <w:bCs w:val="0"/>
                <w:sz w:val="24"/>
              </w:rPr>
              <w:t>第四期付款：人民币</w:t>
            </w:r>
            <w:r>
              <w:rPr>
                <w:rFonts w:hint="eastAsia" w:ascii="宋体" w:hAnsi="宋体"/>
                <w:sz w:val="24"/>
                <w:u w:val="single"/>
              </w:rPr>
              <w:t xml:space="preserve">      </w:t>
            </w:r>
            <w:r>
              <w:rPr>
                <w:rFonts w:hint="eastAsia" w:ascii="宋体" w:hAnsi="宋体"/>
                <w:b w:val="0"/>
                <w:bCs w:val="0"/>
                <w:sz w:val="24"/>
              </w:rPr>
              <w:t>元，客服公司于设备质保期期满之日起</w:t>
            </w:r>
            <w:r>
              <w:rPr>
                <w:rFonts w:hint="eastAsia" w:ascii="宋体" w:hAnsi="宋体"/>
                <w:sz w:val="24"/>
                <w:u w:val="single"/>
              </w:rPr>
              <w:t xml:space="preserve">    </w:t>
            </w:r>
            <w:r>
              <w:rPr>
                <w:rFonts w:hint="eastAsia" w:ascii="宋体" w:hAnsi="宋体"/>
                <w:b w:val="0"/>
                <w:bCs w:val="0"/>
                <w:sz w:val="24"/>
              </w:rPr>
              <w:t>日内支付。</w:t>
            </w:r>
          </w:p>
          <w:p>
            <w:pPr>
              <w:ind w:firstLine="241" w:firstLineChars="100"/>
              <w:rPr>
                <w:rFonts w:hint="eastAsia" w:ascii="宋体" w:hAnsi="宋体"/>
                <w:b/>
                <w:bCs/>
                <w:sz w:val="24"/>
              </w:rPr>
            </w:pPr>
            <w:r>
              <w:rPr>
                <w:rFonts w:hint="eastAsia" w:ascii="宋体" w:hAnsi="宋体"/>
                <w:b/>
                <w:bCs/>
                <w:sz w:val="24"/>
              </w:rPr>
              <w:t>☑ 按以下模式分期付款(适用于库房租赁)</w:t>
            </w:r>
          </w:p>
          <w:p>
            <w:pPr>
              <w:pStyle w:val="3"/>
              <w:spacing w:after="0"/>
              <w:ind w:left="718" w:leftChars="342"/>
              <w:jc w:val="left"/>
              <w:rPr>
                <w:rFonts w:hint="eastAsia" w:ascii="宋体" w:hAnsi="宋体"/>
                <w:b w:val="0"/>
                <w:bCs w:val="0"/>
                <w:sz w:val="24"/>
              </w:rPr>
            </w:pPr>
            <w:r>
              <w:rPr>
                <w:rFonts w:hint="eastAsia" w:ascii="宋体" w:hAnsi="宋体"/>
                <w:b w:val="0"/>
                <w:bCs w:val="0"/>
                <w:sz w:val="24"/>
              </w:rPr>
              <w:t>客服公司向成交单位预先支付三个月库房租金，后续按照每3个月结算下一期（三个月）租金和上一</w:t>
            </w:r>
            <w:r>
              <w:rPr>
                <w:rFonts w:hint="eastAsia" w:ascii="宋体" w:hAnsi="宋体"/>
                <w:b w:val="0"/>
                <w:bCs w:val="0"/>
                <w:sz w:val="24"/>
                <w:lang w:eastAsia="zh-CN"/>
              </w:rPr>
              <w:t>季度</w:t>
            </w:r>
            <w:r>
              <w:rPr>
                <w:rFonts w:hint="eastAsia" w:ascii="宋体" w:hAnsi="宋体"/>
                <w:b w:val="0"/>
                <w:bCs w:val="0"/>
                <w:sz w:val="24"/>
              </w:rPr>
              <w:t>的服务费。收到成交单位对应金额的增值税专用发票（香港企业形式发票）后30个工作日内完成付款。</w:t>
            </w:r>
          </w:p>
          <w:p>
            <w:pPr>
              <w:spacing w:before="120" w:beforeLines="50" w:after="120" w:afterLines="50" w:line="240" w:lineRule="auto"/>
              <w:ind w:left="228" w:leftChars="103" w:hanging="12" w:hangingChars="5"/>
              <w:rPr>
                <w:rFonts w:hint="eastAsia" w:ascii="宋体" w:hAnsi="宋体"/>
                <w:sz w:val="24"/>
              </w:rPr>
            </w:pPr>
            <w:r>
              <w:rPr>
                <w:rFonts w:hint="eastAsia" w:ascii="宋体" w:hAnsi="宋体"/>
                <w:b/>
                <w:bCs/>
                <w:sz w:val="24"/>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sz w:val="24"/>
              </w:rPr>
              <w:t>6</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发票</w:t>
            </w:r>
          </w:p>
        </w:tc>
        <w:tc>
          <w:tcPr>
            <w:tcW w:w="6604" w:type="dxa"/>
            <w:vAlign w:val="center"/>
          </w:tcPr>
          <w:p>
            <w:pPr>
              <w:spacing w:before="120" w:beforeLines="50" w:after="120" w:afterLines="50" w:line="240" w:lineRule="auto"/>
              <w:ind w:left="228" w:leftChars="103" w:hanging="12" w:hangingChars="5"/>
              <w:rPr>
                <w:rFonts w:hint="eastAsia" w:ascii="宋体" w:hAnsi="宋体"/>
                <w:b/>
                <w:bCs/>
                <w:sz w:val="24"/>
              </w:rPr>
            </w:pPr>
            <w:r>
              <w:rPr>
                <w:rFonts w:hint="eastAsia" w:ascii="宋体" w:hAnsi="宋体"/>
                <w:b/>
                <w:bCs/>
                <w:sz w:val="24"/>
              </w:rPr>
              <w:t>上述合同付款条款，根据客服公司选择，具体开票要求如下：</w:t>
            </w:r>
          </w:p>
          <w:p>
            <w:pPr>
              <w:spacing w:before="120" w:beforeLines="50" w:after="120" w:afterLines="50" w:line="240" w:lineRule="auto"/>
              <w:ind w:left="220"/>
              <w:rPr>
                <w:rFonts w:hint="eastAsia" w:ascii="宋体" w:hAnsi="宋体"/>
                <w:sz w:val="24"/>
              </w:rPr>
            </w:pPr>
            <w:r>
              <w:rPr>
                <w:rFonts w:hint="eastAsia" w:ascii="宋体" w:hAnsi="宋体"/>
                <w:sz w:val="24"/>
              </w:rPr>
              <w:t>☑ 成交单位按含税价开具真实合法有效的增值税专用发票</w:t>
            </w:r>
            <w:r>
              <w:rPr>
                <w:rFonts w:hint="eastAsia" w:ascii="宋体" w:hAnsi="宋体"/>
                <w:b/>
                <w:bCs/>
                <w:sz w:val="24"/>
              </w:rPr>
              <w:t>（香港企业形式发票）</w:t>
            </w:r>
            <w:r>
              <w:rPr>
                <w:rFonts w:hint="eastAsia" w:ascii="宋体" w:hAnsi="宋体"/>
                <w:sz w:val="24"/>
              </w:rPr>
              <w:t>；</w:t>
            </w:r>
          </w:p>
          <w:p>
            <w:pPr>
              <w:spacing w:before="120" w:beforeLines="50" w:after="120" w:afterLines="50" w:line="240" w:lineRule="auto"/>
              <w:ind w:left="220"/>
              <w:rPr>
                <w:rFonts w:hint="eastAsia" w:ascii="宋体" w:hAnsi="宋体"/>
                <w:sz w:val="24"/>
              </w:rPr>
            </w:pPr>
            <w:r>
              <w:rPr>
                <w:rFonts w:hint="eastAsia" w:ascii="宋体" w:hAnsi="宋体"/>
                <w:sz w:val="24"/>
              </w:rPr>
              <w:t>□ 成交单位按不含税价开具符合要求的形式发票或增值税普通发票；</w:t>
            </w:r>
          </w:p>
          <w:p>
            <w:pPr>
              <w:spacing w:before="120" w:beforeLines="50" w:after="120" w:afterLines="50" w:line="240" w:lineRule="auto"/>
              <w:ind w:left="228" w:leftChars="103" w:hanging="12" w:hangingChars="5"/>
              <w:rPr>
                <w:rFonts w:hint="eastAsia" w:ascii="宋体" w:hAnsi="宋体"/>
                <w:b/>
                <w:bCs/>
                <w:sz w:val="24"/>
              </w:rPr>
            </w:pPr>
            <w:r>
              <w:rPr>
                <w:rFonts w:hint="eastAsia" w:ascii="宋体" w:hAnsi="宋体"/>
                <w:sz w:val="24"/>
              </w:rPr>
              <w:t>□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cs="宋体"/>
                <w:sz w:val="24"/>
              </w:rPr>
              <w:t>*</w:t>
            </w:r>
            <w:r>
              <w:rPr>
                <w:rFonts w:hint="eastAsia" w:ascii="宋体" w:hAnsi="宋体"/>
                <w:sz w:val="24"/>
              </w:rPr>
              <w:t>7</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报价</w:t>
            </w:r>
          </w:p>
        </w:tc>
        <w:tc>
          <w:tcPr>
            <w:tcW w:w="6604" w:type="dxa"/>
            <w:vAlign w:val="center"/>
          </w:tcPr>
          <w:p>
            <w:pPr>
              <w:numPr>
                <w:ilvl w:val="0"/>
                <w:numId w:val="14"/>
              </w:numPr>
              <w:autoSpaceDE w:val="0"/>
              <w:autoSpaceDN w:val="0"/>
              <w:spacing w:before="120" w:beforeLines="50" w:after="120" w:afterLines="50" w:line="240" w:lineRule="auto"/>
              <w:jc w:val="left"/>
              <w:rPr>
                <w:rFonts w:hint="eastAsia"/>
              </w:rPr>
            </w:pPr>
            <w:r>
              <w:t>本项目报价应包括以下内容：</w:t>
            </w:r>
          </w:p>
          <w:p>
            <w:pPr>
              <w:autoSpaceDE w:val="0"/>
              <w:autoSpaceDN w:val="0"/>
              <w:spacing w:before="120" w:beforeLines="50" w:after="120" w:afterLines="50" w:line="240" w:lineRule="auto"/>
              <w:ind w:firstLine="420" w:firstLineChars="200"/>
              <w:jc w:val="left"/>
              <w:rPr>
                <w:rFonts w:hint="eastAsia"/>
              </w:rPr>
            </w:pPr>
            <w:r>
              <w:rPr>
                <w:rFonts w:hint="eastAsia"/>
              </w:rPr>
              <w:t>__完成本项目的所有所需费用___________________</w:t>
            </w:r>
          </w:p>
          <w:p>
            <w:pPr>
              <w:numPr>
                <w:ilvl w:val="0"/>
                <w:numId w:val="14"/>
              </w:numPr>
              <w:autoSpaceDE w:val="0"/>
              <w:autoSpaceDN w:val="0"/>
              <w:spacing w:before="120" w:beforeLines="50" w:after="120" w:afterLines="50" w:line="240" w:lineRule="auto"/>
              <w:jc w:val="left"/>
              <w:rPr>
                <w:rFonts w:hint="eastAsia"/>
              </w:rPr>
            </w:pPr>
            <w:r>
              <w:rPr>
                <w:rFonts w:hint="eastAsia"/>
              </w:rPr>
              <w:t>响应单位须在分项报价表（见附件）中分别报出以上各部分价格。响应单位根据报价需要可对“分项报价表”进行扩展。</w:t>
            </w:r>
          </w:p>
          <w:p>
            <w:pPr>
              <w:numPr>
                <w:ilvl w:val="0"/>
                <w:numId w:val="14"/>
              </w:numPr>
              <w:autoSpaceDE w:val="0"/>
              <w:autoSpaceDN w:val="0"/>
              <w:spacing w:before="120" w:beforeLines="50" w:after="120" w:afterLines="50" w:line="240" w:lineRule="auto"/>
              <w:jc w:val="left"/>
              <w:rPr>
                <w:rFonts w:hint="eastAsia"/>
              </w:rPr>
            </w:pPr>
            <w:r>
              <w:t>报价应是本项目范围内全部工作内容的价格体现，应包含所涉及的一切相关费用，若有遗漏，</w:t>
            </w:r>
            <w:r>
              <w:rPr>
                <w:rFonts w:hint="eastAsia"/>
              </w:rPr>
              <w:t>客服</w:t>
            </w:r>
            <w:r>
              <w:t>公司视作</w:t>
            </w:r>
            <w:r>
              <w:rPr>
                <w:rFonts w:hint="eastAsia"/>
              </w:rPr>
              <w:t>响应单位</w:t>
            </w:r>
            <w:r>
              <w:t>已考虑让利，费用不予增加。</w:t>
            </w:r>
          </w:p>
          <w:p>
            <w:pPr>
              <w:numPr>
                <w:ilvl w:val="0"/>
                <w:numId w:val="14"/>
              </w:numPr>
              <w:autoSpaceDE w:val="0"/>
              <w:autoSpaceDN w:val="0"/>
              <w:spacing w:before="120" w:beforeLines="50" w:after="120" w:afterLines="50" w:line="240" w:lineRule="auto"/>
              <w:jc w:val="left"/>
            </w:pPr>
            <w:r>
              <w:rPr>
                <w:rFonts w:hint="eastAsia"/>
              </w:rPr>
              <w:t>响应单位</w:t>
            </w:r>
            <w:r>
              <w:t>提交的报价不应有选择性报价或具有附加条件的报价</w:t>
            </w:r>
            <w:r>
              <w:rPr>
                <w:rFonts w:hint="eastAsia"/>
              </w:rPr>
              <w:t>，</w:t>
            </w:r>
            <w:r>
              <w:t>如出现以下情况（包括但不限于以下几种），则</w:t>
            </w:r>
            <w:r>
              <w:rPr>
                <w:rFonts w:hint="eastAsia"/>
              </w:rPr>
              <w:t>响应文件</w:t>
            </w:r>
            <w:r>
              <w:t>将被否决：</w:t>
            </w:r>
          </w:p>
          <w:p>
            <w:pPr>
              <w:numPr>
                <w:ilvl w:val="0"/>
                <w:numId w:val="15"/>
              </w:numPr>
              <w:tabs>
                <w:tab w:val="left" w:pos="312"/>
              </w:tabs>
              <w:spacing w:before="120" w:beforeLines="50" w:after="120" w:afterLines="50" w:line="240" w:lineRule="auto"/>
              <w:ind w:left="420" w:leftChars="200"/>
            </w:pPr>
            <w:r>
              <w:t>我方（</w:t>
            </w:r>
            <w:r>
              <w:rPr>
                <w:rFonts w:hint="eastAsia"/>
              </w:rPr>
              <w:t>响应单位</w:t>
            </w:r>
            <w:r>
              <w:t>）若中标，则将在报价基础上降价</w:t>
            </w:r>
          </w:p>
          <w:p>
            <w:pPr>
              <w:numPr>
                <w:ilvl w:val="0"/>
                <w:numId w:val="15"/>
              </w:numPr>
              <w:tabs>
                <w:tab w:val="left" w:pos="312"/>
              </w:tabs>
              <w:spacing w:before="120" w:beforeLines="50" w:after="120" w:afterLines="50" w:line="240" w:lineRule="auto"/>
              <w:ind w:left="420" w:leftChars="200"/>
              <w:rPr>
                <w:rFonts w:hint="eastAsia"/>
              </w:rPr>
            </w:pPr>
            <w:r>
              <w:t>我方（</w:t>
            </w:r>
            <w:r>
              <w:rPr>
                <w:rFonts w:hint="eastAsia"/>
              </w:rPr>
              <w:t>响应单位</w:t>
            </w:r>
            <w:r>
              <w:t>）若中标某几个项目，则这几个项目将在报价基础上降价</w:t>
            </w:r>
          </w:p>
          <w:p>
            <w:pPr>
              <w:numPr>
                <w:ilvl w:val="0"/>
                <w:numId w:val="15"/>
              </w:numPr>
              <w:tabs>
                <w:tab w:val="left" w:pos="312"/>
              </w:tabs>
              <w:spacing w:before="120" w:beforeLines="50" w:after="120" w:afterLines="50" w:line="240" w:lineRule="auto"/>
              <w:ind w:left="420" w:leftChars="200"/>
              <w:rPr>
                <w:rFonts w:hint="eastAsia"/>
              </w:rPr>
            </w:pPr>
            <w:r>
              <w:t>我方（</w:t>
            </w:r>
            <w:r>
              <w:rPr>
                <w:rFonts w:hint="eastAsia"/>
              </w:rPr>
              <w:t>响应单位</w:t>
            </w:r>
            <w:r>
              <w:t>）提交的方案若中标，则该方案价格将优惠</w:t>
            </w:r>
          </w:p>
          <w:p>
            <w:pPr>
              <w:pStyle w:val="2"/>
              <w:numPr>
                <w:ilvl w:val="0"/>
                <w:numId w:val="16"/>
              </w:numPr>
              <w:ind w:left="420" w:leftChars="0" w:hanging="420" w:firstLineChars="0"/>
              <w:rPr>
                <w:rFonts w:hint="eastAsia" w:eastAsia="宋体"/>
                <w:lang w:val="en-US" w:eastAsia="zh-CN"/>
              </w:rPr>
            </w:pPr>
            <w:r>
              <w:rPr>
                <w:rFonts w:hint="eastAsia" w:ascii="Times New Roman" w:hAnsi="Times New Roman" w:eastAsia="宋体" w:cs="Times New Roman"/>
                <w:b w:val="0"/>
                <w:bCs w:val="0"/>
                <w:kern w:val="2"/>
                <w:sz w:val="21"/>
                <w:szCs w:val="24"/>
                <w:lang w:val="en-US" w:eastAsia="zh-CN" w:bidi="ar-SA"/>
              </w:rPr>
              <w:t>响应单位</w:t>
            </w:r>
            <w:r>
              <w:rPr>
                <w:rFonts w:hint="eastAsia" w:cs="Times New Roman"/>
                <w:b w:val="0"/>
                <w:bCs w:val="0"/>
                <w:kern w:val="2"/>
                <w:sz w:val="21"/>
                <w:szCs w:val="24"/>
                <w:lang w:val="en-US" w:eastAsia="zh-CN" w:bidi="ar-SA"/>
              </w:rPr>
              <w:t>无需考虑跨境收款过程中产生的税费及手续费成本，如产生跨境支付，对应成本由客服公司承担</w:t>
            </w:r>
            <w:r>
              <w:rPr>
                <w:rFonts w:hint="eastAsia" w:ascii="Times New Roman" w:hAnsi="Times New Roman" w:eastAsia="宋体" w:cs="Times New Roman"/>
                <w:b w:val="0"/>
                <w:bCs w:val="0"/>
                <w:kern w:val="2"/>
                <w:sz w:val="21"/>
                <w:szCs w:val="24"/>
                <w:lang w:val="en-US" w:eastAsia="zh-CN" w:bidi="ar-SA"/>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spacing w:line="240" w:lineRule="auto"/>
              <w:jc w:val="center"/>
              <w:rPr>
                <w:rFonts w:hint="eastAsia" w:ascii="宋体" w:hAnsi="宋体"/>
                <w:sz w:val="24"/>
              </w:rPr>
            </w:pPr>
            <w:r>
              <w:rPr>
                <w:rFonts w:hint="eastAsia" w:ascii="宋体" w:hAnsi="宋体"/>
                <w:sz w:val="24"/>
              </w:rPr>
              <w:t>8</w:t>
            </w:r>
          </w:p>
        </w:tc>
        <w:tc>
          <w:tcPr>
            <w:tcW w:w="1695" w:type="dxa"/>
            <w:vAlign w:val="center"/>
          </w:tcPr>
          <w:p>
            <w:pPr>
              <w:autoSpaceDE w:val="0"/>
              <w:autoSpaceDN w:val="0"/>
              <w:spacing w:line="240" w:lineRule="auto"/>
              <w:jc w:val="center"/>
              <w:rPr>
                <w:rFonts w:hint="eastAsia" w:ascii="宋体" w:hAnsi="宋体"/>
                <w:sz w:val="24"/>
              </w:rPr>
            </w:pPr>
            <w:r>
              <w:rPr>
                <w:rFonts w:hint="eastAsia" w:ascii="宋体" w:hAnsi="宋体"/>
                <w:sz w:val="24"/>
              </w:rPr>
              <w:t>其他商务要求</w:t>
            </w:r>
          </w:p>
        </w:tc>
        <w:tc>
          <w:tcPr>
            <w:tcW w:w="6604" w:type="dxa"/>
            <w:vAlign w:val="center"/>
          </w:tcPr>
          <w:p>
            <w:pPr>
              <w:numPr>
                <w:ilvl w:val="-1"/>
                <w:numId w:val="0"/>
              </w:numPr>
              <w:autoSpaceDE w:val="0"/>
              <w:autoSpaceDN w:val="0"/>
              <w:spacing w:before="120" w:beforeLines="50" w:after="120" w:afterLines="50" w:line="240" w:lineRule="auto"/>
              <w:ind w:left="218" w:leftChars="104" w:firstLine="0"/>
              <w:jc w:val="left"/>
              <w:rPr>
                <w:rFonts w:hint="eastAsia" w:ascii="宋体" w:hAnsi="宋体"/>
                <w:sz w:val="24"/>
              </w:rPr>
            </w:pPr>
            <w:r>
              <w:rPr>
                <w:rFonts w:hint="default" w:ascii="宋体" w:hAnsi="宋体"/>
                <w:sz w:val="24"/>
                <w:lang w:val="en-US"/>
              </w:rPr>
              <w:t>1.</w:t>
            </w:r>
            <w:r>
              <w:rPr>
                <w:rFonts w:hint="eastAsia" w:ascii="宋体" w:hAnsi="宋体"/>
                <w:sz w:val="24"/>
              </w:rPr>
              <w:t>在签署本项目合同及履行本项目义务时无任何法律障碍和重大事件影响供应商继续正常存续和全面履行本项目合同的能力，未被列入全国失信被执行人名单，披露正在审理或执行完毕的标的金额大于500万人民币（含本数）的重大诉讼、仲裁、索赔、行政复议或行政处罚。</w:t>
            </w:r>
          </w:p>
          <w:p>
            <w:pPr>
              <w:numPr>
                <w:ilvl w:val="-1"/>
                <w:numId w:val="0"/>
              </w:numPr>
              <w:tabs>
                <w:tab w:val="left" w:pos="204"/>
              </w:tabs>
              <w:autoSpaceDE w:val="0"/>
              <w:autoSpaceDN w:val="0"/>
              <w:spacing w:before="120" w:beforeLines="50" w:after="120" w:afterLines="50" w:line="240" w:lineRule="auto"/>
              <w:ind w:left="218" w:leftChars="104" w:firstLine="0"/>
              <w:jc w:val="left"/>
              <w:rPr>
                <w:rFonts w:hint="eastAsia" w:ascii="宋体" w:hAnsi="宋体"/>
                <w:sz w:val="24"/>
              </w:rPr>
            </w:pPr>
            <w:r>
              <w:rPr>
                <w:rFonts w:hint="eastAsia" w:ascii="宋体" w:hAnsi="宋体" w:cs="宋体"/>
                <w:sz w:val="24"/>
              </w:rPr>
              <w:t>*</w:t>
            </w:r>
            <w:r>
              <w:rPr>
                <w:rFonts w:hint="default" w:ascii="宋体" w:hAnsi="宋体" w:cs="宋体"/>
                <w:sz w:val="24"/>
                <w:lang w:val="en-US"/>
              </w:rPr>
              <w:t>2.</w:t>
            </w:r>
            <w:r>
              <w:rPr>
                <w:rFonts w:hint="eastAsia" w:ascii="宋体" w:hAnsi="宋体"/>
                <w:sz w:val="24"/>
              </w:rPr>
              <w:t>项目不允许联合体报价，不得转让、分包。</w:t>
            </w:r>
          </w:p>
          <w:p>
            <w:pPr>
              <w:numPr>
                <w:ilvl w:val="-1"/>
                <w:numId w:val="0"/>
              </w:numPr>
              <w:autoSpaceDE w:val="0"/>
              <w:autoSpaceDN w:val="0"/>
              <w:spacing w:before="120" w:beforeLines="50" w:after="120" w:afterLines="50" w:line="240" w:lineRule="auto"/>
              <w:ind w:left="218" w:leftChars="104" w:firstLine="0"/>
              <w:jc w:val="left"/>
              <w:rPr>
                <w:rFonts w:hint="eastAsia" w:ascii="宋体" w:hAnsi="宋体"/>
                <w:sz w:val="24"/>
              </w:rPr>
            </w:pPr>
            <w:r>
              <w:rPr>
                <w:rFonts w:hint="eastAsia" w:ascii="宋体" w:hAnsi="宋体" w:cs="宋体"/>
                <w:sz w:val="24"/>
              </w:rPr>
              <w:t>*</w:t>
            </w:r>
            <w:r>
              <w:rPr>
                <w:rFonts w:hint="default" w:ascii="宋体" w:hAnsi="宋体" w:cs="宋体"/>
                <w:sz w:val="24"/>
                <w:lang w:val="en-US"/>
              </w:rPr>
              <w:t>3.</w:t>
            </w:r>
            <w:r>
              <w:rPr>
                <w:rFonts w:hint="eastAsia" w:ascii="宋体" w:hAnsi="宋体"/>
                <w:sz w:val="24"/>
                <w:lang w:eastAsia="zh-CN"/>
              </w:rPr>
              <w:t>投标公司持有场地产权或已被授权可转租赁并提供证明材料</w:t>
            </w:r>
            <w:r>
              <w:rPr>
                <w:rFonts w:hint="eastAsia" w:ascii="宋体" w:hAnsi="宋体"/>
                <w:sz w:val="24"/>
                <w:lang w:val="en-US" w:eastAsia="zh-CN"/>
              </w:rPr>
              <w:t>/文件。</w:t>
            </w:r>
          </w:p>
        </w:tc>
      </w:tr>
    </w:tbl>
    <w:p/>
    <w:p>
      <w:pPr>
        <w:jc w:val="center"/>
        <w:outlineLvl w:val="0"/>
        <w:rPr>
          <w:rFonts w:hint="eastAsia" w:ascii="方正小标宋简体" w:hAnsi="方正小标宋简体" w:eastAsia="方正小标宋简体" w:cs="方正小标宋简体"/>
          <w:b/>
          <w:color w:val="000000"/>
          <w:sz w:val="36"/>
          <w:szCs w:val="36"/>
        </w:rPr>
      </w:pPr>
      <w:r>
        <w:br w:type="page"/>
      </w:r>
      <w:bookmarkEnd w:id="9"/>
      <w:bookmarkStart w:id="14" w:name="_Toc28157_WPSOffice_Level1"/>
      <w:r>
        <w:rPr>
          <w:rFonts w:hint="eastAsia" w:ascii="方正小标宋简体" w:hAnsi="方正小标宋简体" w:eastAsia="方正小标宋简体" w:cs="方正小标宋简体"/>
          <w:b/>
          <w:color w:val="000000"/>
          <w:sz w:val="36"/>
          <w:szCs w:val="36"/>
        </w:rPr>
        <w:t>第五章  服务要求</w:t>
      </w:r>
      <w:bookmarkEnd w:id="14"/>
    </w:p>
    <w:p>
      <w:pPr>
        <w:widowControl/>
        <w:ind w:firstLine="602" w:firstLineChars="200"/>
        <w:jc w:val="center"/>
        <w:rPr>
          <w:rFonts w:hint="eastAsia" w:ascii="宋体" w:hAnsi="宋体"/>
          <w:b/>
          <w:bCs/>
          <w:kern w:val="44"/>
          <w:sz w:val="30"/>
          <w:szCs w:val="30"/>
        </w:rPr>
      </w:pPr>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本章序号标注“*”号的均为关键服务要求，对这些条款的不响应将导致响应文件被否决。响应单位应提供相应的服务方案描述或证明材料。</w:t>
      </w:r>
    </w:p>
    <w:p>
      <w:pPr>
        <w:rPr>
          <w:szCs w:val="21"/>
        </w:rPr>
      </w:pPr>
    </w:p>
    <w:p>
      <w:pPr>
        <w:tabs>
          <w:tab w:val="left" w:pos="420"/>
          <w:tab w:val="left" w:pos="7560"/>
          <w:tab w:val="left" w:pos="7740"/>
          <w:tab w:val="left" w:pos="7920"/>
        </w:tabs>
        <w:adjustRightInd w:val="0"/>
        <w:snapToGrid w:val="0"/>
        <w:spacing w:before="120" w:beforeLines="50" w:line="360" w:lineRule="auto"/>
        <w:ind w:firstLine="422" w:firstLineChars="200"/>
        <w:outlineLvl w:val="0"/>
        <w:rPr>
          <w:rFonts w:hint="eastAsia" w:ascii="宋体" w:hAnsi="宋体"/>
          <w:b/>
          <w:bCs/>
          <w:szCs w:val="21"/>
        </w:rPr>
      </w:pPr>
      <w:r>
        <w:rPr>
          <w:rFonts w:hint="eastAsia" w:ascii="宋体" w:hAnsi="宋体"/>
          <w:b/>
          <w:bCs/>
          <w:szCs w:val="21"/>
        </w:rPr>
        <w:t>*1、服务范围</w:t>
      </w:r>
    </w:p>
    <w:p>
      <w:pPr>
        <w:tabs>
          <w:tab w:val="left" w:pos="420"/>
          <w:tab w:val="left" w:pos="7560"/>
          <w:tab w:val="left" w:pos="7740"/>
          <w:tab w:val="left" w:pos="7920"/>
        </w:tabs>
        <w:adjustRightInd w:val="0"/>
        <w:snapToGrid w:val="0"/>
        <w:spacing w:before="120" w:beforeLines="50" w:line="360" w:lineRule="auto"/>
        <w:ind w:firstLine="960" w:firstLineChars="400"/>
        <w:outlineLvl w:val="0"/>
        <w:rPr>
          <w:rFonts w:hint="eastAsia" w:ascii="仿宋_GB2312" w:hAnsi="宋体" w:eastAsia="仿宋_GB2312"/>
          <w:sz w:val="24"/>
        </w:rPr>
      </w:pPr>
      <w:r>
        <w:rPr>
          <w:rFonts w:hint="eastAsia" w:ascii="仿宋_GB2312" w:hAnsi="宋体" w:eastAsia="仿宋_GB2312"/>
          <w:sz w:val="24"/>
        </w:rPr>
        <w:t>距离香港国际机场直线距离约20公里</w:t>
      </w:r>
      <w:r>
        <w:rPr>
          <w:rFonts w:hint="eastAsia" w:ascii="仿宋_GB2312" w:hAnsi="宋体" w:eastAsia="仿宋_GB2312"/>
          <w:sz w:val="24"/>
          <w:lang w:eastAsia="zh-CN"/>
        </w:rPr>
        <w:t>以内</w:t>
      </w:r>
      <w:r>
        <w:rPr>
          <w:rFonts w:hint="eastAsia" w:ascii="仿宋_GB2312" w:hAnsi="宋体" w:eastAsia="仿宋_GB2312"/>
          <w:sz w:val="24"/>
        </w:rPr>
        <w:t>。</w:t>
      </w:r>
    </w:p>
    <w:p>
      <w:pPr>
        <w:tabs>
          <w:tab w:val="left" w:pos="420"/>
          <w:tab w:val="left" w:pos="7560"/>
          <w:tab w:val="left" w:pos="7740"/>
          <w:tab w:val="left" w:pos="7920"/>
        </w:tabs>
        <w:adjustRightInd w:val="0"/>
        <w:snapToGrid w:val="0"/>
        <w:spacing w:before="120" w:beforeLines="50" w:line="360" w:lineRule="auto"/>
        <w:ind w:firstLine="422" w:firstLineChars="200"/>
        <w:outlineLvl w:val="0"/>
        <w:rPr>
          <w:rFonts w:hint="eastAsia" w:ascii="宋体" w:hAnsi="宋体"/>
          <w:b/>
          <w:bCs/>
          <w:szCs w:val="21"/>
        </w:rPr>
      </w:pPr>
      <w:r>
        <w:rPr>
          <w:rFonts w:hint="eastAsia" w:ascii="宋体" w:hAnsi="宋体"/>
          <w:b/>
          <w:bCs/>
          <w:szCs w:val="21"/>
        </w:rPr>
        <w:t>*2、库房要求</w:t>
      </w:r>
    </w:p>
    <w:p>
      <w:pPr>
        <w:numPr>
          <w:ilvl w:val="0"/>
          <w:numId w:val="17"/>
        </w:numPr>
        <w:tabs>
          <w:tab w:val="left" w:pos="420"/>
          <w:tab w:val="left" w:pos="7560"/>
          <w:tab w:val="left" w:pos="7740"/>
          <w:tab w:val="left" w:pos="7920"/>
        </w:tabs>
        <w:adjustRightInd w:val="0"/>
        <w:snapToGrid w:val="0"/>
        <w:spacing w:before="120" w:beforeLines="50" w:line="360" w:lineRule="auto"/>
        <w:ind w:firstLine="960" w:firstLineChars="400"/>
        <w:outlineLvl w:val="0"/>
        <w:rPr>
          <w:rFonts w:hint="eastAsia" w:ascii="仿宋_GB2312" w:hAnsi="宋体" w:eastAsia="仿宋_GB2312"/>
          <w:sz w:val="24"/>
        </w:rPr>
      </w:pPr>
      <w:r>
        <w:rPr>
          <w:rFonts w:hint="eastAsia" w:ascii="仿宋_GB2312" w:hAnsi="宋体" w:eastAsia="仿宋_GB2312"/>
          <w:sz w:val="24"/>
        </w:rPr>
        <w:t>该库房为独立库区（与其他库区有物理隔离）；</w:t>
      </w:r>
    </w:p>
    <w:p>
      <w:pPr>
        <w:numPr>
          <w:ilvl w:val="0"/>
          <w:numId w:val="17"/>
        </w:numPr>
        <w:tabs>
          <w:tab w:val="left" w:pos="420"/>
          <w:tab w:val="left" w:pos="7560"/>
          <w:tab w:val="left" w:pos="7740"/>
          <w:tab w:val="left" w:pos="7920"/>
        </w:tabs>
        <w:adjustRightInd w:val="0"/>
        <w:snapToGrid w:val="0"/>
        <w:spacing w:before="120" w:beforeLines="50" w:line="360" w:lineRule="auto"/>
        <w:ind w:firstLine="960" w:firstLineChars="400"/>
        <w:outlineLvl w:val="0"/>
        <w:rPr>
          <w:rFonts w:hint="eastAsia" w:ascii="仿宋_GB2312" w:hAnsi="宋体" w:eastAsia="仿宋_GB2312"/>
          <w:sz w:val="24"/>
        </w:rPr>
      </w:pPr>
      <w:r>
        <w:rPr>
          <w:rFonts w:hint="eastAsia" w:ascii="仿宋_GB2312" w:hAnsi="宋体" w:eastAsia="仿宋_GB2312"/>
          <w:sz w:val="24"/>
        </w:rPr>
        <w:t>库房</w:t>
      </w:r>
      <w:r>
        <w:rPr>
          <w:rFonts w:hint="eastAsia" w:ascii="仿宋_GB2312" w:hAnsi="宋体" w:eastAsia="仿宋_GB2312"/>
          <w:sz w:val="24"/>
          <w:lang w:eastAsia="zh-CN"/>
        </w:rPr>
        <w:t>园区</w:t>
      </w:r>
      <w:r>
        <w:rPr>
          <w:rFonts w:hint="eastAsia" w:ascii="仿宋_GB2312" w:hAnsi="宋体" w:eastAsia="仿宋_GB2312"/>
          <w:sz w:val="24"/>
        </w:rPr>
        <w:t>主大门入口高度≥5米，宽度≥4.5米；</w:t>
      </w:r>
    </w:p>
    <w:p>
      <w:pPr>
        <w:numPr>
          <w:ilvl w:val="0"/>
          <w:numId w:val="17"/>
        </w:numPr>
        <w:tabs>
          <w:tab w:val="left" w:pos="420"/>
          <w:tab w:val="left" w:pos="7560"/>
          <w:tab w:val="left" w:pos="7740"/>
          <w:tab w:val="left" w:pos="7920"/>
        </w:tabs>
        <w:adjustRightInd w:val="0"/>
        <w:snapToGrid w:val="0"/>
        <w:spacing w:before="120" w:beforeLines="50" w:line="360" w:lineRule="auto"/>
        <w:ind w:firstLine="960" w:firstLineChars="400"/>
        <w:outlineLvl w:val="0"/>
        <w:rPr>
          <w:rFonts w:hint="eastAsia" w:ascii="仿宋_GB2312" w:hAnsi="宋体" w:eastAsia="仿宋_GB2312"/>
          <w:sz w:val="24"/>
        </w:rPr>
      </w:pPr>
      <w:r>
        <w:rPr>
          <w:rFonts w:hint="eastAsia" w:ascii="仿宋_GB2312" w:hAnsi="宋体" w:eastAsia="仿宋_GB2312"/>
          <w:sz w:val="24"/>
        </w:rPr>
        <w:t>库房层高≥3米；</w:t>
      </w:r>
    </w:p>
    <w:p>
      <w:pPr>
        <w:numPr>
          <w:ilvl w:val="0"/>
          <w:numId w:val="17"/>
        </w:numPr>
        <w:tabs>
          <w:tab w:val="left" w:pos="420"/>
          <w:tab w:val="left" w:pos="7560"/>
          <w:tab w:val="left" w:pos="7740"/>
          <w:tab w:val="left" w:pos="7920"/>
        </w:tabs>
        <w:adjustRightInd w:val="0"/>
        <w:snapToGrid w:val="0"/>
        <w:spacing w:before="120" w:beforeLines="50" w:line="360" w:lineRule="auto"/>
        <w:ind w:firstLine="960" w:firstLineChars="400"/>
        <w:outlineLvl w:val="0"/>
        <w:rPr>
          <w:rFonts w:hint="eastAsia" w:ascii="仿宋_GB2312" w:hAnsi="宋体" w:eastAsia="仿宋_GB2312"/>
          <w:sz w:val="24"/>
        </w:rPr>
      </w:pPr>
      <w:r>
        <w:rPr>
          <w:rFonts w:hint="eastAsia" w:ascii="仿宋_GB2312" w:hAnsi="宋体" w:eastAsia="仿宋_GB2312"/>
          <w:sz w:val="24"/>
        </w:rPr>
        <w:t>库房外场地可供17米长的平板货车或5吨叉车进行装卸作业；</w:t>
      </w:r>
    </w:p>
    <w:p>
      <w:pPr>
        <w:numPr>
          <w:ilvl w:val="0"/>
          <w:numId w:val="17"/>
        </w:numPr>
        <w:tabs>
          <w:tab w:val="left" w:pos="420"/>
          <w:tab w:val="left" w:pos="7560"/>
          <w:tab w:val="left" w:pos="7740"/>
          <w:tab w:val="left" w:pos="7920"/>
        </w:tabs>
        <w:adjustRightInd w:val="0"/>
        <w:snapToGrid w:val="0"/>
        <w:spacing w:before="120" w:beforeLines="50" w:line="360" w:lineRule="auto"/>
        <w:ind w:firstLine="960" w:firstLineChars="400"/>
        <w:outlineLvl w:val="0"/>
        <w:rPr>
          <w:rFonts w:hint="eastAsia" w:ascii="仿宋_GB2312" w:hAnsi="宋体" w:eastAsia="仿宋_GB2312"/>
          <w:sz w:val="24"/>
        </w:rPr>
      </w:pPr>
      <w:r>
        <w:rPr>
          <w:rFonts w:hint="eastAsia" w:ascii="仿宋_GB2312" w:hAnsi="宋体" w:eastAsia="仿宋_GB2312"/>
          <w:sz w:val="24"/>
        </w:rPr>
        <w:t>库房所在园区需配备保安；</w:t>
      </w:r>
    </w:p>
    <w:p>
      <w:pPr>
        <w:numPr>
          <w:ilvl w:val="0"/>
          <w:numId w:val="17"/>
        </w:numPr>
        <w:tabs>
          <w:tab w:val="left" w:pos="420"/>
          <w:tab w:val="left" w:pos="7560"/>
          <w:tab w:val="left" w:pos="7740"/>
          <w:tab w:val="left" w:pos="7920"/>
        </w:tabs>
        <w:snapToGrid w:val="0"/>
        <w:spacing w:before="120" w:beforeLines="50" w:line="360" w:lineRule="auto"/>
        <w:ind w:firstLine="960" w:firstLineChars="400"/>
        <w:rPr>
          <w:rFonts w:hint="eastAsia" w:ascii="仿宋_GB2312" w:hAnsi="宋体" w:eastAsia="仿宋_GB2312"/>
          <w:sz w:val="24"/>
        </w:rPr>
      </w:pPr>
      <w:r>
        <w:rPr>
          <w:rFonts w:hint="eastAsia" w:ascii="仿宋_GB2312" w:hAnsi="宋体" w:eastAsia="仿宋_GB2312"/>
          <w:sz w:val="24"/>
        </w:rPr>
        <w:t>可保持仓库湿度在30%-80%之间；</w:t>
      </w:r>
    </w:p>
    <w:p>
      <w:pPr>
        <w:numPr>
          <w:ilvl w:val="0"/>
          <w:numId w:val="17"/>
        </w:numPr>
        <w:tabs>
          <w:tab w:val="left" w:pos="420"/>
          <w:tab w:val="left" w:pos="7560"/>
          <w:tab w:val="left" w:pos="7740"/>
          <w:tab w:val="left" w:pos="7920"/>
        </w:tabs>
        <w:snapToGrid w:val="0"/>
        <w:spacing w:before="120" w:beforeLines="50" w:line="360" w:lineRule="auto"/>
        <w:ind w:firstLine="960" w:firstLineChars="400"/>
        <w:rPr>
          <w:rFonts w:ascii="仿宋_GB2312" w:eastAsia="仿宋_GB2312"/>
          <w:sz w:val="24"/>
          <w:szCs w:val="32"/>
        </w:rPr>
      </w:pPr>
      <w:r>
        <w:rPr>
          <w:rFonts w:hint="eastAsia" w:ascii="仿宋_GB2312" w:hAnsi="宋体" w:eastAsia="仿宋_GB2312"/>
          <w:sz w:val="24"/>
        </w:rPr>
        <w:t>租赁总面积：200平方米；</w:t>
      </w:r>
    </w:p>
    <w:p>
      <w:pPr>
        <w:numPr>
          <w:ilvl w:val="0"/>
          <w:numId w:val="17"/>
        </w:numPr>
        <w:tabs>
          <w:tab w:val="left" w:pos="420"/>
          <w:tab w:val="left" w:pos="7560"/>
          <w:tab w:val="left" w:pos="7740"/>
          <w:tab w:val="left" w:pos="7920"/>
        </w:tabs>
        <w:snapToGrid w:val="0"/>
        <w:spacing w:before="120" w:beforeLines="50" w:line="360" w:lineRule="auto"/>
        <w:ind w:firstLine="960" w:firstLineChars="400"/>
        <w:rPr>
          <w:rFonts w:ascii="仿宋_GB2312" w:eastAsia="仿宋_GB2312"/>
          <w:sz w:val="24"/>
          <w:szCs w:val="32"/>
        </w:rPr>
      </w:pPr>
      <w:r>
        <w:rPr>
          <w:rFonts w:hint="eastAsia" w:ascii="仿宋_GB2312" w:eastAsia="仿宋_GB2312"/>
          <w:sz w:val="24"/>
          <w:szCs w:val="32"/>
        </w:rPr>
        <w:t>库区及设施设备的日常维修、垃圾清运；</w:t>
      </w:r>
    </w:p>
    <w:p>
      <w:pPr>
        <w:tabs>
          <w:tab w:val="left" w:pos="420"/>
          <w:tab w:val="left" w:pos="7560"/>
          <w:tab w:val="left" w:pos="7740"/>
          <w:tab w:val="left" w:pos="7920"/>
        </w:tabs>
        <w:adjustRightInd w:val="0"/>
        <w:snapToGrid w:val="0"/>
        <w:spacing w:before="120" w:beforeLines="50" w:line="360" w:lineRule="auto"/>
        <w:ind w:firstLine="422" w:firstLineChars="200"/>
        <w:outlineLvl w:val="0"/>
        <w:rPr>
          <w:rFonts w:hint="eastAsia" w:ascii="宋体" w:hAnsi="宋体"/>
          <w:b/>
          <w:bCs/>
          <w:szCs w:val="21"/>
        </w:rPr>
      </w:pPr>
      <w:r>
        <w:rPr>
          <w:rFonts w:hint="eastAsia" w:ascii="宋体" w:hAnsi="宋体"/>
          <w:b/>
          <w:bCs/>
          <w:szCs w:val="21"/>
        </w:rPr>
        <w:t>*3、配套设施</w:t>
      </w:r>
    </w:p>
    <w:p>
      <w:pPr>
        <w:numPr>
          <w:ilvl w:val="0"/>
          <w:numId w:val="18"/>
        </w:numPr>
        <w:tabs>
          <w:tab w:val="left" w:pos="420"/>
          <w:tab w:val="left" w:pos="7560"/>
          <w:tab w:val="left" w:pos="7740"/>
          <w:tab w:val="left" w:pos="7920"/>
        </w:tabs>
        <w:adjustRightInd w:val="0"/>
        <w:snapToGrid w:val="0"/>
        <w:spacing w:before="120" w:beforeLines="50" w:line="360" w:lineRule="auto"/>
        <w:ind w:firstLine="960" w:firstLineChars="400"/>
        <w:outlineLvl w:val="0"/>
        <w:rPr>
          <w:rFonts w:hint="eastAsia" w:ascii="仿宋_GB2312" w:hAnsi="宋体" w:eastAsia="仿宋_GB2312"/>
          <w:sz w:val="24"/>
        </w:rPr>
      </w:pPr>
      <w:r>
        <w:rPr>
          <w:rFonts w:hint="eastAsia" w:ascii="仿宋_GB2312" w:hAnsi="宋体" w:eastAsia="仿宋_GB2312"/>
          <w:sz w:val="24"/>
        </w:rPr>
        <w:t>满足温湿度控制要求的温湿度控制设备；</w:t>
      </w:r>
    </w:p>
    <w:p>
      <w:pPr>
        <w:numPr>
          <w:ilvl w:val="0"/>
          <w:numId w:val="18"/>
        </w:numPr>
        <w:tabs>
          <w:tab w:val="left" w:pos="420"/>
          <w:tab w:val="left" w:pos="7560"/>
          <w:tab w:val="left" w:pos="7740"/>
          <w:tab w:val="left" w:pos="7920"/>
        </w:tabs>
        <w:adjustRightInd w:val="0"/>
        <w:snapToGrid w:val="0"/>
        <w:spacing w:before="120" w:beforeLines="50" w:line="360" w:lineRule="auto"/>
        <w:ind w:firstLine="960" w:firstLineChars="400"/>
        <w:outlineLvl w:val="0"/>
        <w:rPr>
          <w:rFonts w:hint="eastAsia" w:ascii="仿宋_GB2312" w:hAnsi="宋体" w:eastAsia="仿宋_GB2312"/>
          <w:sz w:val="24"/>
        </w:rPr>
      </w:pPr>
      <w:r>
        <w:rPr>
          <w:rFonts w:hint="eastAsia" w:ascii="仿宋_GB2312" w:hAnsi="宋体" w:eastAsia="仿宋_GB2312"/>
          <w:sz w:val="24"/>
        </w:rPr>
        <w:t>配备足够的消防设施，满足香港当地消防法规要求；</w:t>
      </w:r>
    </w:p>
    <w:p>
      <w:pPr>
        <w:numPr>
          <w:ilvl w:val="0"/>
          <w:numId w:val="18"/>
        </w:numPr>
        <w:tabs>
          <w:tab w:val="left" w:pos="420"/>
          <w:tab w:val="left" w:pos="7560"/>
          <w:tab w:val="left" w:pos="7740"/>
          <w:tab w:val="left" w:pos="7920"/>
        </w:tabs>
        <w:adjustRightInd w:val="0"/>
        <w:snapToGrid w:val="0"/>
        <w:spacing w:before="120" w:beforeLines="50" w:line="360" w:lineRule="auto"/>
        <w:ind w:firstLine="960" w:firstLineChars="400"/>
        <w:outlineLvl w:val="0"/>
        <w:rPr>
          <w:rFonts w:hint="eastAsia" w:ascii="仿宋_GB2312" w:hAnsi="宋体" w:eastAsia="仿宋_GB2312"/>
          <w:sz w:val="24"/>
        </w:rPr>
      </w:pPr>
      <w:r>
        <w:rPr>
          <w:rFonts w:hint="eastAsia" w:ascii="仿宋_GB2312" w:hAnsi="宋体" w:eastAsia="仿宋_GB2312"/>
          <w:sz w:val="24"/>
        </w:rPr>
        <w:t>仓库应处于可监控状态，入口处及收发货区需配置对应摄像头；</w:t>
      </w:r>
    </w:p>
    <w:p>
      <w:pPr>
        <w:numPr>
          <w:ilvl w:val="0"/>
          <w:numId w:val="18"/>
        </w:numPr>
        <w:tabs>
          <w:tab w:val="left" w:pos="420"/>
          <w:tab w:val="left" w:pos="7560"/>
          <w:tab w:val="left" w:pos="7740"/>
          <w:tab w:val="left" w:pos="7920"/>
        </w:tabs>
        <w:adjustRightInd w:val="0"/>
        <w:snapToGrid w:val="0"/>
        <w:spacing w:before="120" w:beforeLines="50" w:line="360" w:lineRule="auto"/>
        <w:ind w:firstLine="960" w:firstLineChars="400"/>
        <w:outlineLvl w:val="0"/>
        <w:rPr>
          <w:rFonts w:hint="eastAsia" w:ascii="仿宋_GB2312" w:hAnsi="宋体" w:eastAsia="仿宋_GB2312"/>
          <w:sz w:val="24"/>
        </w:rPr>
      </w:pPr>
      <w:r>
        <w:rPr>
          <w:rFonts w:hint="eastAsia" w:ascii="仿宋_GB2312" w:hAnsi="宋体" w:eastAsia="仿宋_GB2312"/>
          <w:sz w:val="24"/>
        </w:rPr>
        <w:t>办公桌椅一套；</w:t>
      </w:r>
    </w:p>
    <w:p>
      <w:pPr>
        <w:numPr>
          <w:ilvl w:val="0"/>
          <w:numId w:val="18"/>
        </w:numPr>
        <w:tabs>
          <w:tab w:val="left" w:pos="420"/>
          <w:tab w:val="left" w:pos="7560"/>
          <w:tab w:val="left" w:pos="7740"/>
          <w:tab w:val="left" w:pos="7920"/>
        </w:tabs>
        <w:snapToGrid w:val="0"/>
        <w:spacing w:before="120" w:beforeLines="50" w:line="360" w:lineRule="auto"/>
        <w:ind w:firstLine="960" w:firstLineChars="400"/>
        <w:rPr>
          <w:rFonts w:ascii="仿宋_GB2312" w:eastAsia="仿宋_GB2312"/>
          <w:sz w:val="24"/>
          <w:szCs w:val="32"/>
        </w:rPr>
      </w:pPr>
      <w:r>
        <w:rPr>
          <w:rFonts w:hint="eastAsia" w:ascii="仿宋_GB2312" w:hAnsi="宋体" w:eastAsia="仿宋_GB2312"/>
          <w:sz w:val="24"/>
        </w:rPr>
        <w:t>温湿度计；</w:t>
      </w:r>
    </w:p>
    <w:p>
      <w:pPr>
        <w:numPr>
          <w:ilvl w:val="0"/>
          <w:numId w:val="18"/>
        </w:numPr>
        <w:tabs>
          <w:tab w:val="left" w:pos="420"/>
          <w:tab w:val="left" w:pos="7560"/>
          <w:tab w:val="left" w:pos="7740"/>
          <w:tab w:val="left" w:pos="7920"/>
        </w:tabs>
        <w:snapToGrid w:val="0"/>
        <w:spacing w:before="120" w:beforeLines="50" w:line="360" w:lineRule="auto"/>
        <w:ind w:firstLine="960" w:firstLineChars="400"/>
        <w:rPr>
          <w:rFonts w:ascii="仿宋_GB2312" w:eastAsia="仿宋_GB2312"/>
          <w:sz w:val="24"/>
          <w:szCs w:val="32"/>
        </w:rPr>
      </w:pPr>
      <w:r>
        <w:rPr>
          <w:rFonts w:hint="eastAsia" w:ascii="仿宋_GB2312" w:eastAsia="仿宋_GB2312"/>
          <w:sz w:val="24"/>
          <w:szCs w:val="32"/>
        </w:rPr>
        <w:t>照明设施满足日常使用需求；</w:t>
      </w:r>
    </w:p>
    <w:p>
      <w:pPr>
        <w:numPr>
          <w:ilvl w:val="0"/>
          <w:numId w:val="18"/>
        </w:numPr>
        <w:tabs>
          <w:tab w:val="left" w:pos="420"/>
          <w:tab w:val="left" w:pos="7560"/>
          <w:tab w:val="left" w:pos="7740"/>
          <w:tab w:val="left" w:pos="7920"/>
        </w:tabs>
        <w:snapToGrid w:val="0"/>
        <w:spacing w:before="120" w:beforeLines="50" w:line="360" w:lineRule="auto"/>
        <w:ind w:firstLine="960" w:firstLineChars="400"/>
        <w:rPr>
          <w:rFonts w:ascii="仿宋_GB2312" w:eastAsia="仿宋_GB2312"/>
          <w:sz w:val="24"/>
          <w:szCs w:val="32"/>
        </w:rPr>
      </w:pPr>
      <w:r>
        <w:rPr>
          <w:rFonts w:hint="eastAsia" w:ascii="仿宋_GB2312" w:eastAsia="仿宋_GB2312"/>
          <w:sz w:val="24"/>
          <w:szCs w:val="32"/>
        </w:rPr>
        <w:t>供电安全、稳定，无安全隐患且能满足本文件内提到的配套设施使用电量。</w:t>
      </w:r>
    </w:p>
    <w:p>
      <w:pPr>
        <w:tabs>
          <w:tab w:val="left" w:pos="420"/>
          <w:tab w:val="left" w:pos="7560"/>
          <w:tab w:val="left" w:pos="7740"/>
          <w:tab w:val="left" w:pos="7920"/>
        </w:tabs>
        <w:adjustRightInd w:val="0"/>
        <w:snapToGrid w:val="0"/>
        <w:spacing w:before="120" w:beforeLines="50" w:line="360" w:lineRule="auto"/>
        <w:ind w:left="420"/>
        <w:outlineLvl w:val="0"/>
        <w:rPr>
          <w:rFonts w:hint="eastAsia" w:ascii="宋体" w:hAnsi="宋体"/>
          <w:b/>
          <w:bCs/>
          <w:szCs w:val="21"/>
        </w:rPr>
      </w:pPr>
      <w:r>
        <w:rPr>
          <w:rFonts w:hint="eastAsia" w:ascii="宋体" w:hAnsi="宋体"/>
          <w:b/>
          <w:bCs/>
          <w:szCs w:val="21"/>
        </w:rPr>
        <w:t>*4、租赁费组成</w:t>
      </w:r>
    </w:p>
    <w:p>
      <w:pPr>
        <w:numPr>
          <w:ilvl w:val="0"/>
          <w:numId w:val="19"/>
        </w:numPr>
        <w:tabs>
          <w:tab w:val="left" w:pos="420"/>
          <w:tab w:val="left" w:pos="7560"/>
          <w:tab w:val="left" w:pos="7740"/>
          <w:tab w:val="left" w:pos="7920"/>
        </w:tabs>
        <w:snapToGrid w:val="0"/>
        <w:spacing w:before="120" w:beforeLines="50" w:line="360" w:lineRule="auto"/>
        <w:ind w:firstLine="960" w:firstLineChars="400"/>
        <w:rPr>
          <w:sz w:val="24"/>
          <w:szCs w:val="32"/>
        </w:rPr>
      </w:pPr>
      <w:r>
        <w:rPr>
          <w:rFonts w:hint="eastAsia"/>
          <w:sz w:val="24"/>
          <w:szCs w:val="32"/>
        </w:rPr>
        <w:t>租赁费包含由库房租赁产生的税费、</w:t>
      </w:r>
      <w:r>
        <w:rPr>
          <w:rFonts w:hint="eastAsia"/>
          <w:sz w:val="24"/>
          <w:szCs w:val="32"/>
          <w:lang w:eastAsia="zh-CN"/>
        </w:rPr>
        <w:t>物业</w:t>
      </w:r>
      <w:r>
        <w:rPr>
          <w:rFonts w:hint="eastAsia"/>
          <w:sz w:val="24"/>
          <w:szCs w:val="32"/>
        </w:rPr>
        <w:t>管理费、电费等杂项费用。</w:t>
      </w:r>
    </w:p>
    <w:p>
      <w:pPr>
        <w:tabs>
          <w:tab w:val="left" w:pos="420"/>
          <w:tab w:val="left" w:pos="7560"/>
          <w:tab w:val="left" w:pos="7740"/>
          <w:tab w:val="left" w:pos="7920"/>
        </w:tabs>
        <w:adjustRightInd w:val="0"/>
        <w:snapToGrid w:val="0"/>
        <w:spacing w:before="120" w:beforeLines="50" w:line="360" w:lineRule="auto"/>
        <w:ind w:left="420"/>
        <w:outlineLvl w:val="0"/>
        <w:rPr>
          <w:rFonts w:hint="eastAsia" w:ascii="宋体" w:hAnsi="宋体"/>
          <w:b/>
          <w:bCs/>
          <w:szCs w:val="21"/>
        </w:rPr>
      </w:pPr>
      <w:r>
        <w:rPr>
          <w:rFonts w:hint="eastAsia" w:ascii="宋体" w:hAnsi="宋体"/>
          <w:b/>
          <w:bCs/>
          <w:szCs w:val="21"/>
        </w:rPr>
        <w:t>*5、服务要求</w:t>
      </w:r>
    </w:p>
    <w:p>
      <w:pPr>
        <w:numPr>
          <w:ilvl w:val="0"/>
          <w:numId w:val="20"/>
        </w:numPr>
        <w:tabs>
          <w:tab w:val="left" w:pos="420"/>
          <w:tab w:val="left" w:pos="7560"/>
          <w:tab w:val="left" w:pos="7740"/>
          <w:tab w:val="left" w:pos="7920"/>
        </w:tabs>
        <w:snapToGrid w:val="0"/>
        <w:spacing w:before="120" w:beforeLines="50" w:after="0" w:line="360" w:lineRule="auto"/>
        <w:ind w:firstLine="960" w:firstLineChars="400"/>
        <w:rPr>
          <w:sz w:val="24"/>
        </w:rPr>
      </w:pPr>
      <w:r>
        <w:rPr>
          <w:rFonts w:hint="eastAsia"/>
          <w:sz w:val="24"/>
        </w:rPr>
        <w:t>中选供应商需提供库房租赁期内7*24小时库房收发货服务：</w:t>
      </w:r>
    </w:p>
    <w:p>
      <w:pPr>
        <w:numPr>
          <w:ilvl w:val="0"/>
          <w:numId w:val="21"/>
        </w:numPr>
        <w:tabs>
          <w:tab w:val="left" w:pos="420"/>
          <w:tab w:val="left" w:pos="7560"/>
          <w:tab w:val="left" w:pos="7740"/>
          <w:tab w:val="left" w:pos="7920"/>
        </w:tabs>
        <w:adjustRightInd w:val="0"/>
        <w:snapToGrid w:val="0"/>
        <w:spacing w:before="120" w:beforeLines="50" w:line="360" w:lineRule="auto"/>
        <w:ind w:left="1492" w:leftChars="500" w:hanging="442"/>
        <w:outlineLvl w:val="0"/>
        <w:rPr>
          <w:rFonts w:hint="eastAsia" w:ascii="仿宋_GB2312" w:hAnsi="宋体" w:eastAsia="仿宋_GB2312"/>
          <w:sz w:val="24"/>
        </w:rPr>
      </w:pPr>
      <w:r>
        <w:rPr>
          <w:rFonts w:hint="eastAsia" w:ascii="仿宋_GB2312" w:hAnsi="宋体" w:eastAsia="仿宋_GB2312"/>
          <w:sz w:val="24"/>
        </w:rPr>
        <w:t>接收物流信息，对到货航材进行卸货接收，并进行目视检查;</w:t>
      </w:r>
    </w:p>
    <w:p>
      <w:pPr>
        <w:numPr>
          <w:ilvl w:val="0"/>
          <w:numId w:val="21"/>
        </w:numPr>
        <w:tabs>
          <w:tab w:val="left" w:pos="420"/>
          <w:tab w:val="left" w:pos="7560"/>
          <w:tab w:val="left" w:pos="7740"/>
          <w:tab w:val="left" w:pos="7920"/>
        </w:tabs>
        <w:adjustRightInd w:val="0"/>
        <w:snapToGrid w:val="0"/>
        <w:spacing w:before="120" w:beforeLines="50" w:line="360" w:lineRule="auto"/>
        <w:ind w:left="1492" w:leftChars="500" w:hanging="442"/>
        <w:outlineLvl w:val="0"/>
        <w:rPr>
          <w:rFonts w:hint="eastAsia" w:ascii="仿宋_GB2312" w:hAnsi="宋体" w:eastAsia="仿宋_GB2312"/>
          <w:sz w:val="24"/>
        </w:rPr>
      </w:pPr>
      <w:r>
        <w:rPr>
          <w:rFonts w:ascii="仿宋_GB2312" w:hAnsi="宋体" w:eastAsia="仿宋_GB2312"/>
          <w:sz w:val="24"/>
        </w:rPr>
        <w:t>对过检器材协</w:t>
      </w:r>
      <w:r>
        <w:rPr>
          <w:rFonts w:hint="eastAsia" w:ascii="仿宋_GB2312" w:hAnsi="宋体" w:eastAsia="仿宋_GB2312"/>
          <w:sz w:val="24"/>
        </w:rPr>
        <w:t>助</w:t>
      </w:r>
      <w:r>
        <w:rPr>
          <w:rFonts w:ascii="仿宋_GB2312" w:hAnsi="宋体" w:eastAsia="仿宋_GB2312"/>
          <w:sz w:val="24"/>
        </w:rPr>
        <w:t>上架</w:t>
      </w:r>
      <w:r>
        <w:rPr>
          <w:rFonts w:hint="eastAsia" w:ascii="仿宋_GB2312" w:hAnsi="宋体" w:eastAsia="仿宋_GB2312"/>
          <w:sz w:val="24"/>
        </w:rPr>
        <w:t>;</w:t>
      </w:r>
    </w:p>
    <w:p>
      <w:pPr>
        <w:numPr>
          <w:ilvl w:val="0"/>
          <w:numId w:val="21"/>
        </w:numPr>
        <w:tabs>
          <w:tab w:val="left" w:pos="420"/>
          <w:tab w:val="left" w:pos="7560"/>
          <w:tab w:val="left" w:pos="7740"/>
          <w:tab w:val="left" w:pos="7920"/>
        </w:tabs>
        <w:adjustRightInd w:val="0"/>
        <w:snapToGrid w:val="0"/>
        <w:spacing w:before="120" w:beforeLines="50" w:line="360" w:lineRule="auto"/>
        <w:ind w:left="1492" w:leftChars="500" w:hanging="442"/>
        <w:outlineLvl w:val="0"/>
        <w:rPr>
          <w:rFonts w:hint="eastAsia" w:ascii="仿宋_GB2312" w:hAnsi="宋体" w:eastAsia="仿宋_GB2312"/>
          <w:sz w:val="24"/>
        </w:rPr>
      </w:pPr>
      <w:r>
        <w:rPr>
          <w:rFonts w:hint="eastAsia" w:ascii="仿宋_GB2312" w:hAnsi="宋体" w:eastAsia="仿宋_GB2312"/>
          <w:sz w:val="24"/>
        </w:rPr>
        <w:t>对发货器材协助进行下架、打包和交付物流;</w:t>
      </w:r>
    </w:p>
    <w:p>
      <w:pPr>
        <w:numPr>
          <w:ilvl w:val="0"/>
          <w:numId w:val="21"/>
        </w:numPr>
        <w:tabs>
          <w:tab w:val="left" w:pos="420"/>
          <w:tab w:val="left" w:pos="7560"/>
          <w:tab w:val="left" w:pos="7740"/>
          <w:tab w:val="left" w:pos="7920"/>
        </w:tabs>
        <w:adjustRightInd w:val="0"/>
        <w:snapToGrid w:val="0"/>
        <w:spacing w:before="120" w:beforeLines="50" w:line="360" w:lineRule="auto"/>
        <w:ind w:left="1492" w:leftChars="500" w:hanging="442"/>
        <w:outlineLvl w:val="0"/>
        <w:rPr>
          <w:rFonts w:hint="eastAsia" w:ascii="仿宋_GB2312" w:hAnsi="宋体" w:eastAsia="仿宋_GB2312"/>
          <w:sz w:val="24"/>
        </w:rPr>
      </w:pPr>
      <w:r>
        <w:rPr>
          <w:rFonts w:hint="eastAsia" w:ascii="仿宋_GB2312" w:hAnsi="宋体" w:eastAsia="仿宋_GB2312"/>
          <w:sz w:val="24"/>
        </w:rPr>
        <w:t>对航材实物进行外观、数量、件批序号、证书等进行符合性检查；</w:t>
      </w:r>
    </w:p>
    <w:p>
      <w:pPr>
        <w:numPr>
          <w:ilvl w:val="0"/>
          <w:numId w:val="21"/>
        </w:numPr>
        <w:tabs>
          <w:tab w:val="left" w:pos="420"/>
          <w:tab w:val="left" w:pos="7560"/>
          <w:tab w:val="left" w:pos="7740"/>
          <w:tab w:val="left" w:pos="7920"/>
        </w:tabs>
        <w:adjustRightInd w:val="0"/>
        <w:snapToGrid w:val="0"/>
        <w:spacing w:before="120" w:beforeLines="50" w:line="360" w:lineRule="auto"/>
        <w:ind w:left="1492" w:leftChars="500" w:hanging="442"/>
        <w:outlineLvl w:val="0"/>
        <w:rPr>
          <w:rFonts w:hint="eastAsia" w:ascii="仿宋_GB2312" w:hAnsi="宋体" w:eastAsia="仿宋_GB2312"/>
          <w:sz w:val="24"/>
        </w:rPr>
      </w:pPr>
      <w:r>
        <w:rPr>
          <w:rFonts w:hint="eastAsia" w:ascii="仿宋_GB2312" w:hAnsi="宋体" w:eastAsia="仿宋_GB2312"/>
          <w:sz w:val="24"/>
        </w:rPr>
        <w:t>配合进行半年度/年度（或专项临时）盘点。</w:t>
      </w:r>
    </w:p>
    <w:p>
      <w:pPr>
        <w:numPr>
          <w:ilvl w:val="0"/>
          <w:numId w:val="20"/>
        </w:numPr>
        <w:tabs>
          <w:tab w:val="left" w:pos="420"/>
          <w:tab w:val="left" w:pos="7560"/>
          <w:tab w:val="left" w:pos="7740"/>
          <w:tab w:val="left" w:pos="7920"/>
        </w:tabs>
        <w:snapToGrid w:val="0"/>
        <w:spacing w:before="120" w:beforeLines="50" w:line="360" w:lineRule="auto"/>
        <w:ind w:firstLine="960" w:firstLineChars="400"/>
        <w:rPr>
          <w:sz w:val="24"/>
        </w:rPr>
      </w:pPr>
      <w:r>
        <w:rPr>
          <w:rFonts w:hint="eastAsia"/>
          <w:sz w:val="24"/>
        </w:rPr>
        <w:t>服务量的计算方式：处理一个RDN（一件）被视为一次（系统可拉取的最小单行数据），举例：A件号，序列号/批次为B，入库或出库一次计算为一个RDN为一件。</w:t>
      </w:r>
    </w:p>
    <w:p>
      <w:pPr>
        <w:numPr>
          <w:ilvl w:val="0"/>
          <w:numId w:val="20"/>
        </w:numPr>
        <w:tabs>
          <w:tab w:val="left" w:pos="420"/>
          <w:tab w:val="left" w:pos="7560"/>
          <w:tab w:val="left" w:pos="7740"/>
          <w:tab w:val="left" w:pos="7920"/>
        </w:tabs>
        <w:snapToGrid w:val="0"/>
        <w:spacing w:before="120" w:beforeLines="50" w:line="360" w:lineRule="auto"/>
        <w:ind w:firstLine="960" w:firstLineChars="400"/>
        <w:rPr>
          <w:sz w:val="24"/>
        </w:rPr>
      </w:pPr>
      <w:r>
        <w:rPr>
          <w:rFonts w:hint="eastAsia"/>
          <w:sz w:val="24"/>
        </w:rPr>
        <w:t>如发货过程中需要进行重新组合包装，中选供应商需提供重组包装所需的包装材料（纸箱、气泡膜等）</w:t>
      </w:r>
      <w:r>
        <w:rPr>
          <w:rFonts w:hint="eastAsia"/>
          <w:sz w:val="24"/>
          <w:lang w:eastAsia="zh-CN"/>
        </w:rPr>
        <w:t>。</w:t>
      </w:r>
    </w:p>
    <w:p>
      <w:pPr>
        <w:numPr>
          <w:ilvl w:val="0"/>
          <w:numId w:val="20"/>
        </w:numPr>
        <w:tabs>
          <w:tab w:val="left" w:pos="420"/>
          <w:tab w:val="left" w:pos="7560"/>
          <w:tab w:val="left" w:pos="7740"/>
          <w:tab w:val="left" w:pos="7920"/>
        </w:tabs>
        <w:snapToGrid w:val="0"/>
        <w:spacing w:before="120" w:beforeLines="50" w:line="360" w:lineRule="auto"/>
        <w:ind w:firstLine="960" w:firstLineChars="400"/>
        <w:rPr>
          <w:sz w:val="24"/>
        </w:rPr>
      </w:pPr>
      <w:r>
        <w:rPr>
          <w:rFonts w:hint="eastAsia"/>
          <w:sz w:val="24"/>
        </w:rPr>
        <w:t>服务费按实际季度拉取期间内的出入库数据进行结算，年预估量为2000件。</w:t>
      </w:r>
    </w:p>
    <w:p>
      <w:pPr>
        <w:tabs>
          <w:tab w:val="left" w:pos="420"/>
          <w:tab w:val="left" w:pos="7560"/>
          <w:tab w:val="left" w:pos="7740"/>
          <w:tab w:val="left" w:pos="7920"/>
        </w:tabs>
        <w:adjustRightInd w:val="0"/>
        <w:snapToGrid w:val="0"/>
        <w:spacing w:before="120" w:beforeLines="50" w:line="360" w:lineRule="auto"/>
        <w:ind w:left="420"/>
        <w:outlineLvl w:val="0"/>
        <w:rPr>
          <w:rFonts w:hint="eastAsia" w:ascii="宋体" w:hAnsi="宋体"/>
          <w:b/>
          <w:bCs/>
          <w:szCs w:val="21"/>
        </w:rPr>
      </w:pPr>
      <w:r>
        <w:rPr>
          <w:rFonts w:hint="eastAsia" w:ascii="宋体" w:hAnsi="宋体"/>
          <w:b/>
          <w:bCs/>
          <w:szCs w:val="21"/>
        </w:rPr>
        <w:t>*6、交付时间</w:t>
      </w:r>
    </w:p>
    <w:p>
      <w:pPr>
        <w:tabs>
          <w:tab w:val="left" w:pos="420"/>
          <w:tab w:val="left" w:pos="7560"/>
          <w:tab w:val="left" w:pos="7740"/>
          <w:tab w:val="left" w:pos="7920"/>
        </w:tabs>
        <w:adjustRightInd w:val="0"/>
        <w:snapToGrid w:val="0"/>
        <w:spacing w:before="120" w:beforeLines="50" w:line="360" w:lineRule="auto"/>
        <w:ind w:firstLine="840" w:firstLineChars="400"/>
        <w:outlineLvl w:val="0"/>
        <w:rPr>
          <w:rFonts w:hint="eastAsia" w:ascii="方正小标宋简体" w:hAnsi="方正小标宋简体" w:eastAsia="方正小标宋简体" w:cs="方正小标宋简体"/>
          <w:b/>
          <w:color w:val="000000"/>
          <w:sz w:val="36"/>
          <w:szCs w:val="36"/>
        </w:rPr>
      </w:pPr>
      <w:r>
        <w:rPr>
          <w:rFonts w:hint="eastAsia" w:ascii="宋体" w:hAnsi="宋体"/>
          <w:szCs w:val="21"/>
        </w:rPr>
        <w:t>签订合同之日起30个工作日内完成交付。</w:t>
      </w:r>
      <w:r>
        <w:rPr>
          <w:rFonts w:ascii="宋体" w:hAnsi="宋体"/>
          <w:szCs w:val="21"/>
        </w:rPr>
        <w:br w:type="page"/>
      </w:r>
      <w:bookmarkEnd w:id="10"/>
      <w:bookmarkStart w:id="15" w:name="_Toc7733_WPSOffice_Level1"/>
      <w:r>
        <w:rPr>
          <w:rFonts w:hint="eastAsia" w:ascii="方正小标宋简体" w:hAnsi="方正小标宋简体" w:eastAsia="方正小标宋简体" w:cs="方正小标宋简体"/>
          <w:b/>
          <w:color w:val="000000"/>
          <w:sz w:val="36"/>
          <w:szCs w:val="36"/>
        </w:rPr>
        <w:t>第六章  附件</w:t>
      </w:r>
      <w:bookmarkEnd w:id="15"/>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一、竞争性谈判响应声明</w:t>
      </w:r>
    </w:p>
    <w:p>
      <w:pPr>
        <w:adjustRightInd w:val="0"/>
        <w:snapToGrid w:val="0"/>
        <w:spacing w:line="360" w:lineRule="auto"/>
        <w:jc w:val="center"/>
        <w:rPr>
          <w:rFonts w:hint="eastAsia" w:ascii="黑体" w:hAnsi="宋体" w:eastAsia="黑体"/>
          <w:sz w:val="30"/>
          <w:szCs w:val="30"/>
        </w:rPr>
      </w:pPr>
    </w:p>
    <w:p>
      <w:pPr>
        <w:adjustRightInd w:val="0"/>
        <w:snapToGrid w:val="0"/>
        <w:spacing w:line="360" w:lineRule="auto"/>
        <w:jc w:val="center"/>
        <w:rPr>
          <w:rFonts w:hint="eastAsia" w:ascii="黑体" w:hAnsi="宋体" w:eastAsia="黑体"/>
          <w:sz w:val="30"/>
          <w:szCs w:val="30"/>
        </w:rPr>
      </w:pPr>
      <w:r>
        <w:rPr>
          <w:rFonts w:hint="eastAsia" w:ascii="黑体" w:hAnsi="宋体" w:eastAsia="黑体"/>
          <w:sz w:val="30"/>
          <w:szCs w:val="30"/>
        </w:rPr>
        <w:t>竞争性谈判响应声明</w:t>
      </w:r>
    </w:p>
    <w:p>
      <w:pPr>
        <w:spacing w:line="360" w:lineRule="auto"/>
        <w:ind w:firstLine="420" w:firstLineChars="200"/>
        <w:rPr>
          <w:rFonts w:hint="eastAsia" w:ascii="宋体" w:hAnsi="宋体"/>
        </w:rPr>
      </w:pPr>
    </w:p>
    <w:p>
      <w:pPr>
        <w:adjustRightInd w:val="0"/>
        <w:snapToGrid w:val="0"/>
        <w:spacing w:line="360" w:lineRule="auto"/>
        <w:ind w:firstLine="420" w:firstLineChars="200"/>
        <w:rPr>
          <w:rFonts w:hint="eastAsia" w:ascii="宋体" w:hAnsi="宋体"/>
        </w:rPr>
      </w:pPr>
      <w:r>
        <w:rPr>
          <w:rFonts w:ascii="宋体" w:hAnsi="宋体"/>
        </w:rPr>
        <w:t>1、在研究了</w:t>
      </w:r>
      <w:r>
        <w:rPr>
          <w:rFonts w:hint="eastAsia" w:ascii="宋体" w:hAnsi="宋体"/>
          <w:b/>
          <w:bCs/>
          <w:u w:val="single"/>
        </w:rPr>
        <w:t xml:space="preserve"> 香港库房租赁服务 </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_港币_（币种）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hint="eastAsia"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rPr>
        <w:t>服务期限</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hint="eastAsia"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hint="eastAsia"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hint="eastAsia"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hint="eastAsia"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hint="eastAsia"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hint="eastAsia"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p>
    <w:p>
      <w:pPr>
        <w:adjustRightInd w:val="0"/>
        <w:snapToGrid w:val="0"/>
        <w:spacing w:line="360" w:lineRule="auto"/>
        <w:ind w:firstLine="420" w:firstLineChars="200"/>
        <w:rPr>
          <w:rFonts w:hint="eastAsia" w:ascii="宋体" w:hAnsi="宋体"/>
        </w:rPr>
      </w:pPr>
      <w:r>
        <w:rPr>
          <w:rFonts w:hint="eastAsia" w:ascii="宋体" w:hAnsi="宋体"/>
        </w:rPr>
        <w:t>11、</w:t>
      </w:r>
      <w:r>
        <w:rPr>
          <w:rFonts w:ascii="宋体" w:hAnsi="宋体"/>
        </w:rPr>
        <w:t>我</w:t>
      </w:r>
      <w:r>
        <w:rPr>
          <w:rFonts w:hint="eastAsia" w:ascii="宋体" w:hAnsi="宋体"/>
        </w:rPr>
        <w:t>方（二选一）：</w:t>
      </w:r>
    </w:p>
    <w:p>
      <w:pPr>
        <w:adjustRightInd w:val="0"/>
        <w:snapToGrid w:val="0"/>
        <w:spacing w:line="360" w:lineRule="auto"/>
        <w:rPr>
          <w:rFonts w:hint="eastAsia"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hint="eastAsia"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hint="eastAsia" w:ascii="宋体" w:hAnsi="宋体"/>
        </w:rPr>
      </w:pPr>
    </w:p>
    <w:p>
      <w:pPr>
        <w:adjustRightInd w:val="0"/>
        <w:snapToGrid w:val="0"/>
        <w:spacing w:line="360" w:lineRule="auto"/>
        <w:rPr>
          <w:rFonts w:hint="eastAsia"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hint="eastAsia" w:ascii="宋体" w:hAnsi="宋体"/>
        </w:rPr>
      </w:pPr>
      <w:r>
        <w:rPr>
          <w:rFonts w:ascii="宋体" w:hAnsi="宋体"/>
        </w:rPr>
        <w:t>单位地址及邮政编码：</w:t>
      </w:r>
    </w:p>
    <w:p>
      <w:pPr>
        <w:adjustRightInd w:val="0"/>
        <w:snapToGrid w:val="0"/>
        <w:spacing w:line="360" w:lineRule="auto"/>
        <w:rPr>
          <w:rFonts w:hint="eastAsia" w:ascii="宋体" w:hAnsi="宋体"/>
        </w:rPr>
      </w:pPr>
      <w:r>
        <w:rPr>
          <w:rFonts w:hint="eastAsia" w:ascii="宋体" w:hAnsi="宋体"/>
        </w:rPr>
        <w:t>法定代表人或授权代表（签字或盖章）：</w:t>
      </w:r>
    </w:p>
    <w:p>
      <w:pPr>
        <w:adjustRightInd w:val="0"/>
        <w:snapToGrid w:val="0"/>
        <w:spacing w:line="360" w:lineRule="auto"/>
        <w:rPr>
          <w:rFonts w:hint="eastAsia" w:ascii="宋体" w:hAnsi="宋体"/>
        </w:rPr>
      </w:pPr>
      <w:r>
        <w:rPr>
          <w:rFonts w:ascii="宋体" w:hAnsi="宋体"/>
        </w:rPr>
        <w:t xml:space="preserve">联系电话（传真）：  </w:t>
      </w:r>
    </w:p>
    <w:p>
      <w:pPr>
        <w:adjustRightInd w:val="0"/>
        <w:snapToGrid w:val="0"/>
        <w:spacing w:line="360" w:lineRule="auto"/>
        <w:jc w:val="right"/>
        <w:rPr>
          <w:rFonts w:hint="eastAsia" w:ascii="宋体" w:hAnsi="宋体"/>
        </w:rPr>
      </w:pPr>
      <w:r>
        <w:rPr>
          <w:rFonts w:ascii="宋体" w:hAnsi="宋体"/>
        </w:rPr>
        <w:t xml:space="preserve">                                                          年    月    日</w:t>
      </w:r>
    </w:p>
    <w:p>
      <w:pPr>
        <w:adjustRightInd w:val="0"/>
        <w:snapToGrid w:val="0"/>
        <w:spacing w:line="360" w:lineRule="auto"/>
        <w:jc w:val="right"/>
        <w:rPr>
          <w:rFonts w:hint="eastAsia" w:ascii="宋体" w:hAnsi="宋体"/>
        </w:rPr>
      </w:pPr>
      <w:r>
        <w:rPr>
          <w:rFonts w:hint="eastAsia" w:ascii="宋体" w:hAnsi="宋体"/>
        </w:rPr>
        <w:br w:type="page"/>
      </w:r>
    </w:p>
    <w:p>
      <w:pPr>
        <w:adjustRightInd w:val="0"/>
        <w:snapToGrid w:val="0"/>
        <w:spacing w:line="360" w:lineRule="auto"/>
        <w:outlineLvl w:val="1"/>
        <w:rPr>
          <w:rFonts w:hint="eastAsia" w:ascii="黑体" w:hAnsi="宋体" w:eastAsia="黑体"/>
          <w:sz w:val="30"/>
          <w:szCs w:val="30"/>
        </w:rPr>
      </w:pPr>
      <w:bookmarkStart w:id="16" w:name="_Hlk35922021"/>
      <w:r>
        <w:rPr>
          <w:rFonts w:hint="eastAsia" w:ascii="黑体" w:hAnsi="宋体" w:eastAsia="黑体"/>
          <w:sz w:val="30"/>
          <w:szCs w:val="30"/>
        </w:rPr>
        <w:t>二、</w:t>
      </w:r>
      <w:bookmarkEnd w:id="16"/>
      <w:r>
        <w:rPr>
          <w:rFonts w:hint="eastAsia" w:ascii="黑体" w:hAnsi="宋体" w:eastAsia="黑体"/>
          <w:sz w:val="30"/>
          <w:szCs w:val="30"/>
        </w:rPr>
        <w:t>报价表</w:t>
      </w:r>
    </w:p>
    <w:p>
      <w:pPr>
        <w:adjustRightInd w:val="0"/>
        <w:snapToGrid w:val="0"/>
        <w:spacing w:line="360" w:lineRule="auto"/>
        <w:rPr>
          <w:rFonts w:hint="eastAsia" w:ascii="宋体" w:hAnsi="宋体"/>
          <w:sz w:val="28"/>
          <w:szCs w:val="28"/>
        </w:rPr>
      </w:pPr>
      <w:r>
        <w:rPr>
          <w:rFonts w:hint="eastAsia" w:ascii="宋体" w:hAnsi="宋体"/>
          <w:sz w:val="28"/>
          <w:szCs w:val="28"/>
        </w:rPr>
        <w:t>1、报价一览表</w:t>
      </w:r>
    </w:p>
    <w:tbl>
      <w:tblPr>
        <w:tblStyle w:val="33"/>
        <w:tblW w:w="1012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3558"/>
        <w:gridCol w:w="1558"/>
        <w:gridCol w:w="1590"/>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r>
              <w:rPr>
                <w:rFonts w:hint="eastAsia" w:ascii="宋体" w:hAnsi="宋体" w:cs="宋体"/>
              </w:rPr>
              <w:t>序号</w:t>
            </w:r>
          </w:p>
        </w:tc>
        <w:tc>
          <w:tcPr>
            <w:tcW w:w="3558"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r>
              <w:rPr>
                <w:rFonts w:hint="eastAsia" w:ascii="宋体" w:hAnsi="宋体" w:cs="宋体"/>
              </w:rPr>
              <w:t>服务项目</w:t>
            </w:r>
          </w:p>
        </w:tc>
        <w:tc>
          <w:tcPr>
            <w:tcW w:w="1558" w:type="dxa"/>
            <w:tcBorders>
              <w:top w:val="double" w:color="auto" w:sz="4" w:space="0"/>
              <w:left w:val="single" w:color="auto" w:sz="6" w:space="0"/>
              <w:bottom w:val="single" w:color="auto" w:sz="6" w:space="0"/>
              <w:right w:val="single" w:color="auto" w:sz="4" w:space="0"/>
            </w:tcBorders>
            <w:vAlign w:val="center"/>
          </w:tcPr>
          <w:p>
            <w:pPr>
              <w:adjustRightInd w:val="0"/>
              <w:snapToGrid w:val="0"/>
              <w:spacing w:line="240" w:lineRule="auto"/>
              <w:ind w:left="-88" w:leftChars="-42"/>
              <w:jc w:val="center"/>
              <w:rPr>
                <w:rFonts w:ascii="宋体"/>
              </w:rPr>
            </w:pPr>
            <w:r>
              <w:rPr>
                <w:rFonts w:hint="eastAsia" w:ascii="宋体"/>
              </w:rPr>
              <w:t>单价（含税）</w:t>
            </w:r>
          </w:p>
          <w:p>
            <w:pPr>
              <w:adjustRightInd w:val="0"/>
              <w:snapToGrid w:val="0"/>
              <w:spacing w:line="240" w:lineRule="auto"/>
              <w:ind w:left="-88" w:leftChars="-42"/>
              <w:jc w:val="center"/>
              <w:rPr>
                <w:rFonts w:ascii="宋体"/>
              </w:rPr>
            </w:pPr>
            <w:r>
              <w:rPr>
                <w:rFonts w:hint="eastAsia" w:ascii="宋体"/>
              </w:rPr>
              <w:t>（港币/平方米/年）</w:t>
            </w:r>
          </w:p>
        </w:tc>
        <w:tc>
          <w:tcPr>
            <w:tcW w:w="1590" w:type="dxa"/>
            <w:tcBorders>
              <w:top w:val="double" w:color="auto" w:sz="4" w:space="0"/>
              <w:left w:val="single" w:color="auto" w:sz="6" w:space="0"/>
              <w:bottom w:val="single" w:color="auto" w:sz="6" w:space="0"/>
              <w:right w:val="single" w:color="auto" w:sz="4" w:space="0"/>
            </w:tcBorders>
            <w:vAlign w:val="center"/>
          </w:tcPr>
          <w:p>
            <w:pPr>
              <w:adjustRightInd w:val="0"/>
              <w:snapToGrid w:val="0"/>
              <w:spacing w:line="240" w:lineRule="auto"/>
              <w:ind w:left="-88" w:leftChars="-42"/>
              <w:jc w:val="center"/>
              <w:rPr>
                <w:rFonts w:ascii="宋体"/>
              </w:rPr>
            </w:pPr>
            <w:r>
              <w:rPr>
                <w:rFonts w:hint="eastAsia" w:ascii="宋体"/>
              </w:rPr>
              <w:t>合价（含税）</w:t>
            </w:r>
          </w:p>
          <w:p>
            <w:pPr>
              <w:adjustRightInd w:val="0"/>
              <w:snapToGrid w:val="0"/>
              <w:spacing w:line="240" w:lineRule="auto"/>
              <w:ind w:left="-88" w:leftChars="-42"/>
              <w:jc w:val="center"/>
              <w:rPr>
                <w:rFonts w:ascii="宋体"/>
              </w:rPr>
            </w:pPr>
            <w:r>
              <w:rPr>
                <w:rFonts w:hint="eastAsia" w:ascii="宋体"/>
              </w:rPr>
              <w:t>（港币/平方米/年）</w:t>
            </w:r>
          </w:p>
        </w:tc>
        <w:tc>
          <w:tcPr>
            <w:tcW w:w="1943" w:type="dxa"/>
            <w:tcBorders>
              <w:top w:val="double" w:color="auto" w:sz="4" w:space="0"/>
              <w:left w:val="single" w:color="auto" w:sz="4" w:space="0"/>
              <w:bottom w:val="single" w:color="auto" w:sz="6" w:space="0"/>
              <w:right w:val="double" w:color="auto" w:sz="4" w:space="0"/>
            </w:tcBorders>
            <w:vAlign w:val="center"/>
          </w:tcPr>
          <w:p>
            <w:pPr>
              <w:adjustRightInd w:val="0"/>
              <w:snapToGrid w:val="0"/>
              <w:spacing w:line="240" w:lineRule="auto"/>
              <w:ind w:left="-88" w:leftChars="-42"/>
              <w:jc w:val="center"/>
              <w:rPr>
                <w:rFonts w:hint="eastAsia" w:ascii="宋体" w:hAnsi="宋体" w:cs="宋体"/>
              </w:rPr>
            </w:pPr>
            <w:r>
              <w:rPr>
                <w:rFonts w:hint="eastAsia" w:ascii="宋体" w:hAnsi="宋体" w:cs="宋体"/>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r>
              <w:rPr>
                <w:rFonts w:ascii="宋体" w:hAnsi="宋体" w:cs="宋体"/>
              </w:rPr>
              <w:t>1</w:t>
            </w:r>
          </w:p>
        </w:tc>
        <w:tc>
          <w:tcPr>
            <w:tcW w:w="3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r>
              <w:rPr>
                <w:rFonts w:hint="eastAsia" w:ascii="宋体"/>
              </w:rPr>
              <w:t>仓库租赁费</w:t>
            </w:r>
          </w:p>
        </w:tc>
        <w:tc>
          <w:tcPr>
            <w:tcW w:w="155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ind w:left="-88" w:leftChars="-42"/>
              <w:jc w:val="center"/>
              <w:rPr>
                <w:rFonts w:ascii="宋体"/>
              </w:rPr>
            </w:pPr>
          </w:p>
        </w:tc>
        <w:tc>
          <w:tcPr>
            <w:tcW w:w="159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ind w:left="-88" w:leftChars="-42"/>
              <w:jc w:val="center"/>
              <w:rPr>
                <w:rFonts w:ascii="宋体"/>
              </w:rPr>
            </w:pP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line="240" w:lineRule="auto"/>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r>
              <w:rPr>
                <w:rFonts w:hint="eastAsia" w:ascii="宋体" w:hAnsi="宋体" w:cs="宋体"/>
              </w:rPr>
              <w:t>序号</w:t>
            </w:r>
          </w:p>
        </w:tc>
        <w:tc>
          <w:tcPr>
            <w:tcW w:w="3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r>
              <w:rPr>
                <w:rFonts w:hint="eastAsia" w:ascii="宋体" w:hAnsi="宋体" w:cs="宋体"/>
              </w:rPr>
              <w:t>服务项目</w:t>
            </w:r>
          </w:p>
        </w:tc>
        <w:tc>
          <w:tcPr>
            <w:tcW w:w="155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ind w:left="-88" w:leftChars="-42"/>
              <w:jc w:val="center"/>
              <w:rPr>
                <w:rFonts w:ascii="宋体"/>
              </w:rPr>
            </w:pPr>
            <w:r>
              <w:rPr>
                <w:rFonts w:hint="eastAsia" w:ascii="宋体"/>
              </w:rPr>
              <w:t>单价（含税）</w:t>
            </w:r>
          </w:p>
          <w:p>
            <w:pPr>
              <w:adjustRightInd w:val="0"/>
              <w:snapToGrid w:val="0"/>
              <w:spacing w:line="240" w:lineRule="auto"/>
              <w:ind w:left="-88" w:leftChars="-42"/>
              <w:jc w:val="center"/>
              <w:rPr>
                <w:rFonts w:ascii="宋体"/>
              </w:rPr>
            </w:pPr>
            <w:r>
              <w:rPr>
                <w:rFonts w:hint="eastAsia" w:ascii="宋体"/>
              </w:rPr>
              <w:t>（港币/件）</w:t>
            </w:r>
          </w:p>
        </w:tc>
        <w:tc>
          <w:tcPr>
            <w:tcW w:w="159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ind w:left="-88" w:leftChars="-42"/>
              <w:jc w:val="center"/>
              <w:rPr>
                <w:rFonts w:ascii="宋体"/>
              </w:rPr>
            </w:pPr>
            <w:r>
              <w:rPr>
                <w:rFonts w:hint="eastAsia" w:ascii="宋体"/>
              </w:rPr>
              <w:t>合价（含税）</w:t>
            </w:r>
          </w:p>
          <w:p>
            <w:pPr>
              <w:adjustRightInd w:val="0"/>
              <w:snapToGrid w:val="0"/>
              <w:spacing w:line="240" w:lineRule="auto"/>
              <w:ind w:left="-88" w:leftChars="-42"/>
              <w:jc w:val="center"/>
              <w:rPr>
                <w:rFonts w:ascii="宋体"/>
              </w:rPr>
            </w:pPr>
            <w:r>
              <w:rPr>
                <w:rFonts w:hint="eastAsia" w:ascii="宋体"/>
              </w:rPr>
              <w:t>（港币/件）</w:t>
            </w: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line="240" w:lineRule="auto"/>
              <w:ind w:left="-88" w:leftChars="-42"/>
              <w:jc w:val="center"/>
              <w:rPr>
                <w:rFonts w:ascii="宋体"/>
              </w:rPr>
            </w:pPr>
            <w:r>
              <w:rPr>
                <w:rFonts w:hint="eastAsia" w:ascii="宋体" w:hAnsi="宋体" w:cs="宋体"/>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240" w:lineRule="auto"/>
              <w:ind w:left="-88" w:leftChars="-42"/>
              <w:jc w:val="center"/>
              <w:rPr>
                <w:rFonts w:hint="eastAsia" w:ascii="宋体" w:hAnsi="宋体" w:cs="宋体"/>
              </w:rPr>
            </w:pPr>
            <w:r>
              <w:rPr>
                <w:rFonts w:hint="eastAsia" w:ascii="宋体" w:hAnsi="宋体" w:cs="宋体"/>
              </w:rPr>
              <w:t>2</w:t>
            </w:r>
          </w:p>
        </w:tc>
        <w:tc>
          <w:tcPr>
            <w:tcW w:w="3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r>
              <w:rPr>
                <w:rFonts w:hint="eastAsia" w:ascii="宋体"/>
              </w:rPr>
              <w:t>服务费</w:t>
            </w:r>
          </w:p>
        </w:tc>
        <w:tc>
          <w:tcPr>
            <w:tcW w:w="155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ind w:left="-88" w:leftChars="-42"/>
              <w:jc w:val="center"/>
              <w:rPr>
                <w:rFonts w:ascii="宋体"/>
              </w:rPr>
            </w:pPr>
          </w:p>
        </w:tc>
        <w:tc>
          <w:tcPr>
            <w:tcW w:w="159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ind w:left="-88" w:leftChars="-42"/>
              <w:jc w:val="center"/>
              <w:rPr>
                <w:rFonts w:ascii="宋体"/>
              </w:rPr>
            </w:pP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line="240" w:lineRule="auto"/>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240" w:lineRule="auto"/>
              <w:ind w:left="-88" w:leftChars="-42"/>
              <w:jc w:val="center"/>
              <w:rPr>
                <w:rFonts w:hint="eastAsia" w:ascii="宋体" w:hAnsi="宋体" w:cs="宋体"/>
              </w:rPr>
            </w:pPr>
          </w:p>
        </w:tc>
        <w:tc>
          <w:tcPr>
            <w:tcW w:w="3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p>
        </w:tc>
        <w:tc>
          <w:tcPr>
            <w:tcW w:w="1558" w:type="dxa"/>
            <w:tcBorders>
              <w:top w:val="single" w:color="auto" w:sz="6" w:space="0"/>
              <w:left w:val="single" w:color="auto" w:sz="6" w:space="0"/>
              <w:bottom w:val="single" w:color="auto" w:sz="6" w:space="0"/>
              <w:right w:val="single" w:color="auto" w:sz="4" w:space="0"/>
            </w:tcBorders>
            <w:vAlign w:val="center"/>
          </w:tcPr>
          <w:p/>
        </w:tc>
        <w:tc>
          <w:tcPr>
            <w:tcW w:w="1590" w:type="dxa"/>
            <w:tcBorders>
              <w:top w:val="single" w:color="auto" w:sz="6" w:space="0"/>
              <w:left w:val="single" w:color="auto" w:sz="6" w:space="0"/>
              <w:bottom w:val="single" w:color="auto" w:sz="6" w:space="0"/>
              <w:right w:val="single" w:color="auto" w:sz="4" w:space="0"/>
            </w:tcBorders>
            <w:vAlign w:val="center"/>
          </w:tcP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line="240" w:lineRule="auto"/>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p>
        </w:tc>
        <w:tc>
          <w:tcPr>
            <w:tcW w:w="355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p>
        </w:tc>
        <w:tc>
          <w:tcPr>
            <w:tcW w:w="1558"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ind w:left="-88" w:leftChars="-42"/>
              <w:jc w:val="center"/>
              <w:rPr>
                <w:rFonts w:ascii="宋体"/>
              </w:rPr>
            </w:pPr>
          </w:p>
        </w:tc>
        <w:tc>
          <w:tcPr>
            <w:tcW w:w="159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240" w:lineRule="auto"/>
              <w:ind w:left="-88" w:leftChars="-42"/>
              <w:jc w:val="center"/>
              <w:rPr>
                <w:rFonts w:ascii="宋体"/>
              </w:rPr>
            </w:pP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line="240" w:lineRule="auto"/>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240" w:lineRule="auto"/>
              <w:ind w:left="-88" w:leftChars="-42"/>
              <w:jc w:val="center"/>
              <w:rPr>
                <w:rFonts w:ascii="宋体"/>
              </w:rPr>
            </w:pPr>
            <w:r>
              <w:rPr>
                <w:rFonts w:hint="eastAsia" w:ascii="宋体" w:hAnsi="宋体" w:cs="宋体"/>
              </w:rPr>
              <w:t>总报价</w:t>
            </w:r>
          </w:p>
        </w:tc>
        <w:tc>
          <w:tcPr>
            <w:tcW w:w="8649" w:type="dxa"/>
            <w:gridSpan w:val="4"/>
            <w:tcBorders>
              <w:top w:val="single" w:color="auto" w:sz="6" w:space="0"/>
              <w:left w:val="single" w:color="auto" w:sz="6" w:space="0"/>
              <w:bottom w:val="single" w:color="auto" w:sz="6" w:space="0"/>
              <w:right w:val="double" w:color="auto" w:sz="4" w:space="0"/>
            </w:tcBorders>
            <w:vAlign w:val="center"/>
          </w:tcPr>
          <w:p>
            <w:pPr>
              <w:adjustRightInd w:val="0"/>
              <w:snapToGrid w:val="0"/>
              <w:spacing w:line="240" w:lineRule="auto"/>
              <w:jc w:val="left"/>
              <w:rPr>
                <w:rFonts w:ascii="宋体"/>
              </w:rPr>
            </w:pPr>
            <w:r>
              <w:rPr>
                <w:rFonts w:hint="eastAsia" w:ascii="宋体" w:hAnsi="宋体" w:cs="宋体"/>
              </w:rPr>
              <w:t>小写：</w:t>
            </w:r>
          </w:p>
          <w:p>
            <w:pPr>
              <w:adjustRightInd w:val="0"/>
              <w:snapToGrid w:val="0"/>
              <w:spacing w:line="240" w:lineRule="auto"/>
              <w:ind w:left="-88" w:leftChars="-42" w:firstLine="105" w:firstLineChars="50"/>
              <w:jc w:val="left"/>
              <w:rPr>
                <w:rFonts w:ascii="宋体"/>
              </w:rPr>
            </w:pPr>
            <w:r>
              <w:rPr>
                <w:rFonts w:hint="eastAsia" w:ascii="宋体" w:hAnsi="宋体" w:cs="宋体"/>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0129" w:type="dxa"/>
            <w:gridSpan w:val="5"/>
            <w:tcBorders>
              <w:top w:val="single" w:color="auto" w:sz="6" w:space="0"/>
              <w:left w:val="double" w:color="auto" w:sz="4" w:space="0"/>
              <w:bottom w:val="double" w:color="auto" w:sz="4" w:space="0"/>
              <w:right w:val="double" w:color="auto" w:sz="4" w:space="0"/>
            </w:tcBorders>
            <w:vAlign w:val="center"/>
          </w:tcPr>
          <w:p>
            <w:pPr>
              <w:adjustRightInd w:val="0"/>
              <w:snapToGrid w:val="0"/>
              <w:spacing w:line="240" w:lineRule="auto"/>
              <w:ind w:left="-88" w:leftChars="-42"/>
              <w:jc w:val="left"/>
              <w:rPr>
                <w:rFonts w:ascii="宋体"/>
              </w:rPr>
            </w:pPr>
            <w:r>
              <w:rPr>
                <w:rFonts w:hint="eastAsia" w:ascii="宋体" w:hAnsi="宋体" w:cs="宋体"/>
              </w:rPr>
              <w:t>备注：</w:t>
            </w:r>
          </w:p>
        </w:tc>
      </w:tr>
    </w:tbl>
    <w:p>
      <w:pPr>
        <w:adjustRightInd w:val="0"/>
        <w:snapToGrid w:val="0"/>
        <w:spacing w:line="360" w:lineRule="auto"/>
        <w:ind w:left="-88" w:leftChars="-42"/>
        <w:rPr>
          <w:rFonts w:hint="eastAsia" w:ascii="等线" w:hAnsi="等线"/>
          <w:szCs w:val="21"/>
        </w:rPr>
      </w:pPr>
      <w:r>
        <w:rPr>
          <w:rFonts w:hint="eastAsia" w:ascii="仿宋_GB2312" w:hAnsi="宋体" w:eastAsia="仿宋_GB2312"/>
          <w:b/>
          <w:szCs w:val="21"/>
        </w:rPr>
        <w:t>说明</w:t>
      </w:r>
      <w:r>
        <w:rPr>
          <w:rFonts w:hint="eastAsia" w:ascii="仿宋_GB2312" w:hAnsi="宋体" w:eastAsia="仿宋_GB2312"/>
          <w:szCs w:val="21"/>
        </w:rPr>
        <w:t>：</w:t>
      </w:r>
      <w:r>
        <w:rPr>
          <w:rFonts w:hint="eastAsia" w:ascii="等线" w:hAnsi="等线"/>
          <w:szCs w:val="21"/>
        </w:rPr>
        <w:t>（1）所有价格精确到小数点后2位。</w:t>
      </w:r>
    </w:p>
    <w:p>
      <w:pPr>
        <w:adjustRightInd w:val="0"/>
        <w:snapToGrid w:val="0"/>
        <w:spacing w:line="360" w:lineRule="auto"/>
        <w:ind w:firstLine="420" w:firstLineChars="200"/>
        <w:rPr>
          <w:rFonts w:hint="eastAsia" w:ascii="等线" w:hAnsi="等线"/>
          <w:szCs w:val="21"/>
        </w:rPr>
      </w:pPr>
      <w:r>
        <w:rPr>
          <w:rFonts w:hint="eastAsia" w:ascii="等线" w:hAnsi="等线"/>
          <w:szCs w:val="21"/>
        </w:rPr>
        <w:t>（2）价格应按照竞争性谈判采购文件的要求报价。</w:t>
      </w:r>
    </w:p>
    <w:p>
      <w:pPr>
        <w:adjustRightInd w:val="0"/>
        <w:snapToGrid w:val="0"/>
        <w:spacing w:line="360" w:lineRule="auto"/>
        <w:ind w:left="-88" w:leftChars="-42"/>
        <w:rPr>
          <w:rFonts w:hint="eastAsia" w:ascii="仿宋_GB2312" w:hAnsi="宋体" w:eastAsia="仿宋_GB2312"/>
          <w:szCs w:val="21"/>
        </w:rPr>
      </w:pPr>
    </w:p>
    <w:p>
      <w:pPr>
        <w:adjustRightInd w:val="0"/>
        <w:snapToGrid w:val="0"/>
        <w:spacing w:line="360" w:lineRule="auto"/>
        <w:ind w:left="-88" w:leftChars="-42"/>
        <w:rPr>
          <w:rFonts w:hint="eastAsia" w:ascii="宋体" w:hAnsi="宋体"/>
          <w:szCs w:val="21"/>
        </w:rPr>
      </w:pPr>
    </w:p>
    <w:p>
      <w:pPr>
        <w:adjustRightInd w:val="0"/>
        <w:snapToGrid w:val="0"/>
        <w:spacing w:line="360" w:lineRule="auto"/>
        <w:rPr>
          <w:rFonts w:hint="eastAsia"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hint="eastAsia" w:ascii="宋体" w:hAnsi="宋体"/>
        </w:rPr>
      </w:pPr>
      <w:r>
        <w:rPr>
          <w:rFonts w:hint="eastAsia" w:ascii="宋体" w:hAnsi="宋体"/>
        </w:rPr>
        <w:t>法定代表人或授权代表（签字或盖章）：</w:t>
      </w:r>
    </w:p>
    <w:p>
      <w:pPr>
        <w:adjustRightInd w:val="0"/>
        <w:snapToGrid w:val="0"/>
        <w:spacing w:line="360" w:lineRule="auto"/>
        <w:jc w:val="right"/>
        <w:rPr>
          <w:rFonts w:hint="eastAsia" w:ascii="宋体" w:hAnsi="宋体"/>
        </w:rPr>
      </w:pPr>
      <w:r>
        <w:rPr>
          <w:rFonts w:ascii="宋体" w:hAnsi="宋体"/>
          <w:sz w:val="24"/>
        </w:rPr>
        <w:t xml:space="preserve"> </w:t>
      </w:r>
      <w:r>
        <w:rPr>
          <w:rFonts w:hint="eastAsia" w:ascii="宋体" w:hAnsi="宋体"/>
          <w:bCs/>
          <w:sz w:val="24"/>
        </w:rPr>
        <w:t xml:space="preserve">            </w:t>
      </w:r>
      <w:r>
        <w:rPr>
          <w:rFonts w:ascii="宋体" w:hAnsi="宋体"/>
        </w:rPr>
        <w:t xml:space="preserve">   年    月    日</w:t>
      </w:r>
    </w:p>
    <w:p>
      <w:pPr>
        <w:adjustRightInd w:val="0"/>
        <w:snapToGrid w:val="0"/>
        <w:spacing w:line="360" w:lineRule="auto"/>
        <w:rPr>
          <w:rFonts w:hint="eastAsia" w:ascii="宋体" w:hAnsi="宋体"/>
          <w:szCs w:val="21"/>
        </w:rPr>
      </w:pPr>
    </w:p>
    <w:p>
      <w:pPr>
        <w:adjustRightInd w:val="0"/>
        <w:snapToGrid w:val="0"/>
        <w:spacing w:line="440" w:lineRule="exact"/>
        <w:ind w:left="-88" w:leftChars="-42"/>
        <w:sectPr>
          <w:pgSz w:w="11906" w:h="16838"/>
          <w:pgMar w:top="1803" w:right="1440" w:bottom="1803" w:left="1440" w:header="851" w:footer="992" w:gutter="0"/>
          <w:cols w:space="720" w:num="1"/>
          <w:docGrid w:linePitch="315" w:charSpace="0"/>
        </w:sectPr>
      </w:pPr>
      <w:r>
        <w:rPr>
          <w:rFonts w:ascii="宋体" w:hAnsi="宋体"/>
          <w:szCs w:val="21"/>
        </w:rPr>
        <w:br w:type="page"/>
      </w: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三、商务要求响应表</w:t>
      </w:r>
    </w:p>
    <w:p>
      <w:pPr>
        <w:widowControl/>
        <w:adjustRightInd w:val="0"/>
        <w:snapToGrid w:val="0"/>
        <w:spacing w:line="240" w:lineRule="auto"/>
        <w:ind w:left="5250" w:leftChars="2500" w:firstLine="0" w:firstLineChars="0"/>
        <w:rPr>
          <w:rFonts w:hint="eastAsia" w:ascii="宋体" w:hAnsi="宋体"/>
          <w:szCs w:val="21"/>
          <w:u w:val="single"/>
        </w:rPr>
      </w:pPr>
      <w:r>
        <w:rPr>
          <w:rFonts w:hint="eastAsia" w:ascii="宋体" w:hAnsi="宋体"/>
          <w:b/>
          <w:sz w:val="28"/>
          <w:szCs w:val="28"/>
        </w:rPr>
        <w:t>商务要求响应表</w:t>
      </w:r>
    </w:p>
    <w:tbl>
      <w:tblPr>
        <w:tblStyle w:val="33"/>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hint="eastAsia" w:ascii="宋体" w:hAnsi="宋体"/>
                <w:sz w:val="24"/>
              </w:rPr>
            </w:pPr>
            <w:r>
              <w:rPr>
                <w:rFonts w:hint="eastAsia" w:ascii="宋体" w:hAnsi="宋体"/>
                <w:sz w:val="24"/>
              </w:rPr>
              <w:t>□ 对所有商务要求均响应</w:t>
            </w:r>
          </w:p>
          <w:p>
            <w:pPr>
              <w:adjustRightInd w:val="0"/>
              <w:snapToGrid w:val="0"/>
              <w:ind w:left="212" w:leftChars="101" w:firstLine="6"/>
              <w:jc w:val="left"/>
              <w:rPr>
                <w:rFonts w:hint="eastAsia"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竞争性谈判文件的商务要求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hint="eastAsia"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hint="eastAsia"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hint="eastAsia"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hint="eastAsia"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hint="eastAsia" w:ascii="宋体" w:hAnsi="宋体"/>
                <w:sz w:val="24"/>
              </w:rPr>
            </w:pPr>
          </w:p>
        </w:tc>
      </w:tr>
    </w:tbl>
    <w:p>
      <w:pPr>
        <w:adjustRightInd w:val="0"/>
        <w:snapToGrid w:val="0"/>
        <w:spacing w:line="240" w:lineRule="auto"/>
        <w:ind w:left="-88" w:leftChars="-42"/>
        <w:rPr>
          <w:rFonts w:hint="eastAsia"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240" w:lineRule="auto"/>
        <w:ind w:left="-88" w:leftChars="-42"/>
        <w:rPr>
          <w:rFonts w:hint="eastAsia" w:ascii="等线" w:hAnsi="等线"/>
          <w:szCs w:val="21"/>
        </w:rPr>
      </w:pPr>
      <w:r>
        <w:rPr>
          <w:rFonts w:hint="eastAsia" w:ascii="等线" w:hAnsi="等线"/>
          <w:szCs w:val="21"/>
        </w:rPr>
        <w:t xml:space="preserve">      （2）“响应情况”栏应填写“优于”或“不响应”。</w:t>
      </w:r>
    </w:p>
    <w:p>
      <w:pPr>
        <w:spacing w:line="240" w:lineRule="auto"/>
        <w:rPr>
          <w:rFonts w:hint="eastAsia" w:ascii="宋体" w:hAnsi="宋体"/>
          <w:b/>
          <w:bCs/>
          <w:sz w:val="24"/>
        </w:rPr>
      </w:pPr>
    </w:p>
    <w:p>
      <w:pPr>
        <w:adjustRightInd w:val="0"/>
        <w:snapToGrid w:val="0"/>
        <w:spacing w:line="240" w:lineRule="auto"/>
        <w:rPr>
          <w:rFonts w:hint="eastAsia"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240" w:lineRule="auto"/>
        <w:rPr>
          <w:rFonts w:hint="eastAsia" w:ascii="宋体" w:hAnsi="宋体"/>
        </w:rPr>
      </w:pPr>
      <w:r>
        <w:rPr>
          <w:rFonts w:hint="eastAsia" w:ascii="宋体" w:hAnsi="宋体"/>
        </w:rPr>
        <w:t>法定代表人或授权代表（签字或盖章）：</w:t>
      </w:r>
    </w:p>
    <w:p>
      <w:pPr>
        <w:widowControl/>
        <w:adjustRightInd w:val="0"/>
        <w:snapToGrid w:val="0"/>
        <w:jc w:val="right"/>
        <w:rPr>
          <w:rFonts w:hint="eastAsia" w:ascii="仿宋_GB2312" w:hAnsi="宋体" w:eastAsia="仿宋_GB2312"/>
          <w:b/>
          <w:color w:val="000000"/>
          <w:kern w:val="0"/>
          <w:sz w:val="44"/>
        </w:rPr>
      </w:pPr>
      <w:r>
        <w:rPr>
          <w:rFonts w:hint="eastAsia" w:ascii="宋体" w:hAnsi="宋体"/>
          <w:sz w:val="24"/>
        </w:rPr>
        <w:t xml:space="preserve">       年      月     日</w:t>
      </w: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四、技术要求响应表</w:t>
      </w:r>
    </w:p>
    <w:p>
      <w:pPr>
        <w:adjustRightInd w:val="0"/>
        <w:snapToGrid w:val="0"/>
        <w:spacing w:line="240" w:lineRule="auto"/>
        <w:ind w:left="-88" w:leftChars="-42" w:firstLine="0" w:firstLineChars="0"/>
        <w:jc w:val="center"/>
        <w:rPr>
          <w:rFonts w:hint="eastAsia" w:ascii="宋体" w:hAnsi="宋体"/>
          <w:szCs w:val="21"/>
          <w:u w:val="single"/>
        </w:rPr>
      </w:pPr>
      <w:r>
        <w:rPr>
          <w:rFonts w:hint="eastAsia" w:ascii="宋体" w:hAnsi="宋体"/>
          <w:b/>
          <w:sz w:val="28"/>
          <w:szCs w:val="28"/>
        </w:rPr>
        <w:t>技术要求响应表</w:t>
      </w:r>
    </w:p>
    <w:tbl>
      <w:tblPr>
        <w:tblStyle w:val="33"/>
        <w:tblW w:w="13311"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15"/>
        <w:gridCol w:w="2713"/>
        <w:gridCol w:w="2826"/>
        <w:gridCol w:w="1249"/>
        <w:gridCol w:w="2690"/>
        <w:gridCol w:w="2618"/>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892" w:hRule="atLeast"/>
          <w:jc w:val="center"/>
        </w:trPr>
        <w:tc>
          <w:tcPr>
            <w:tcW w:w="1215"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096" w:type="dxa"/>
            <w:gridSpan w:val="5"/>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1215"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spacing w:line="240" w:lineRule="auto"/>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13"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spacing w:line="240" w:lineRule="auto"/>
              <w:ind w:left="0" w:left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竞争性</w:t>
            </w:r>
            <w:r>
              <w:rPr>
                <w:rFonts w:hint="eastAsia" w:ascii="黑体" w:hAnsi="黑体" w:eastAsia="黑体" w:cs="黑体"/>
                <w:b w:val="0"/>
                <w:bCs/>
                <w:sz w:val="24"/>
                <w:highlight w:val="none"/>
                <w:lang w:val="en-US" w:eastAsia="zh-CN"/>
              </w:rPr>
              <w:t>谈判</w:t>
            </w:r>
            <w:r>
              <w:rPr>
                <w:rFonts w:hint="eastAsia" w:ascii="黑体" w:hAnsi="黑体" w:eastAsia="黑体" w:cs="黑体"/>
                <w:b w:val="0"/>
                <w:bCs/>
                <w:sz w:val="24"/>
                <w:highlight w:val="none"/>
              </w:rPr>
              <w:t>文件的</w:t>
            </w:r>
          </w:p>
          <w:p>
            <w:pPr>
              <w:keepNext w:val="0"/>
              <w:keepLines w:val="0"/>
              <w:pageBreakBefore w:val="0"/>
              <w:kinsoku/>
              <w:overflowPunct/>
              <w:topLinePunct w:val="0"/>
              <w:autoSpaceDE/>
              <w:autoSpaceDN/>
              <w:bidi w:val="0"/>
              <w:adjustRightInd w:val="0"/>
              <w:snapToGrid w:val="0"/>
              <w:spacing w:line="240" w:lineRule="auto"/>
              <w:ind w:left="0" w:left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26"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spacing w:line="240" w:lineRule="auto"/>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49"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spacing w:line="240" w:lineRule="auto"/>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269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618"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1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690"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618"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1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690"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618"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1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690"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618"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1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690"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618"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15" w:type="dxa"/>
            <w:tcBorders>
              <w:top w:val="single" w:color="auto" w:sz="6" w:space="0"/>
              <w:left w:val="double" w:color="auto" w:sz="4"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13"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26"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49"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690"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618"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adjustRightInd w:val="0"/>
        <w:snapToGrid w:val="0"/>
        <w:spacing w:line="240" w:lineRule="auto"/>
        <w:ind w:left="-88" w:leftChars="-42"/>
        <w:rPr>
          <w:rFonts w:hint="eastAsia"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240" w:lineRule="auto"/>
        <w:ind w:left="-88" w:leftChars="-42"/>
        <w:rPr>
          <w:rFonts w:hint="eastAsia" w:ascii="宋体" w:hAnsi="宋体"/>
          <w:sz w:val="24"/>
        </w:rPr>
      </w:pPr>
      <w:r>
        <w:rPr>
          <w:rFonts w:hint="eastAsia" w:ascii="等线" w:hAnsi="等线"/>
          <w:szCs w:val="21"/>
        </w:rPr>
        <w:t xml:space="preserve">      （2）“响应情况”栏应填写“优于”或“不响应”。</w:t>
      </w:r>
    </w:p>
    <w:p>
      <w:pPr>
        <w:adjustRightInd w:val="0"/>
        <w:snapToGrid w:val="0"/>
        <w:spacing w:line="240" w:lineRule="auto"/>
        <w:rPr>
          <w:rFonts w:hint="eastAsia"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240" w:lineRule="auto"/>
        <w:rPr>
          <w:rFonts w:hint="eastAsia" w:ascii="宋体" w:hAnsi="宋体"/>
        </w:rPr>
      </w:pPr>
      <w:r>
        <w:rPr>
          <w:rFonts w:hint="eastAsia" w:ascii="宋体" w:hAnsi="宋体"/>
        </w:rPr>
        <w:t>法定代表人或授权代表（签字或盖章）：</w:t>
      </w:r>
    </w:p>
    <w:p>
      <w:pPr>
        <w:widowControl/>
        <w:spacing w:line="240" w:lineRule="auto"/>
        <w:jc w:val="right"/>
        <w:rPr>
          <w:rFonts w:hint="eastAsia" w:ascii="宋体" w:hAnsi="宋体"/>
          <w:b/>
          <w:bCs/>
          <w:sz w:val="24"/>
        </w:rPr>
      </w:pPr>
      <w:r>
        <w:rPr>
          <w:rFonts w:hint="eastAsia" w:ascii="宋体" w:hAnsi="宋体"/>
          <w:sz w:val="24"/>
        </w:rPr>
        <w:t xml:space="preserve">       年      月      日</w:t>
      </w:r>
    </w:p>
    <w:p>
      <w:pPr>
        <w:widowControl/>
        <w:spacing w:line="240" w:lineRule="auto"/>
        <w:rPr>
          <w:rFonts w:hint="eastAsia" w:ascii="宋体" w:hAnsi="宋体"/>
          <w:b/>
          <w:bCs/>
          <w:sz w:val="24"/>
        </w:rPr>
        <w:sectPr>
          <w:headerReference r:id="rId4" w:type="default"/>
          <w:footerReference r:id="rId5"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五、法定代表人声明（适用于法定代表人响应）</w:t>
      </w:r>
    </w:p>
    <w:p>
      <w:pPr>
        <w:spacing w:line="360" w:lineRule="auto"/>
        <w:jc w:val="center"/>
        <w:rPr>
          <w:rFonts w:hint="eastAsia" w:ascii="黑体" w:hAnsi="黑体" w:eastAsia="黑体"/>
          <w:b/>
          <w:sz w:val="32"/>
          <w:szCs w:val="32"/>
        </w:rPr>
      </w:pPr>
    </w:p>
    <w:p>
      <w:pPr>
        <w:spacing w:line="360" w:lineRule="auto"/>
        <w:jc w:val="center"/>
        <w:rPr>
          <w:rFonts w:hint="eastAsia" w:ascii="黑体" w:hAnsi="黑体" w:eastAsia="黑体"/>
          <w:b/>
          <w:sz w:val="32"/>
          <w:szCs w:val="32"/>
        </w:rPr>
      </w:pPr>
    </w:p>
    <w:p>
      <w:pPr>
        <w:spacing w:line="360" w:lineRule="auto"/>
        <w:jc w:val="center"/>
        <w:rPr>
          <w:rFonts w:hint="eastAsia"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hint="eastAsia"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hint="eastAsia"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hint="eastAsia" w:ascii="宋体" w:hAnsi="宋体"/>
          <w:sz w:val="24"/>
        </w:rPr>
      </w:pPr>
    </w:p>
    <w:p>
      <w:pPr>
        <w:spacing w:line="300" w:lineRule="auto"/>
        <w:ind w:right="420"/>
        <w:jc w:val="right"/>
        <w:rPr>
          <w:rFonts w:hint="eastAsia"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rPr>
      </w:pPr>
      <w:r>
        <w:rPr>
          <w:rFonts w:hint="eastAsia" w:ascii="宋体" w:hAnsi="宋体"/>
          <w:b/>
          <w:sz w:val="24"/>
        </w:rPr>
        <w:br w:type="page"/>
      </w:r>
      <w:r>
        <w:rPr>
          <w:rFonts w:hint="eastAsia" w:ascii="黑体" w:hAnsi="宋体" w:eastAsia="黑体"/>
          <w:sz w:val="30"/>
          <w:szCs w:val="30"/>
        </w:rPr>
        <w:t>六、法定代表人授权委托书（适用于授权委托人响应）</w:t>
      </w:r>
    </w:p>
    <w:p>
      <w:pPr>
        <w:widowControl/>
        <w:wordWrap w:val="0"/>
        <w:jc w:val="center"/>
        <w:rPr>
          <w:rFonts w:hint="eastAsia" w:ascii="宋体" w:hAnsi="宋体"/>
          <w:kern w:val="0"/>
          <w:sz w:val="28"/>
          <w:szCs w:val="28"/>
        </w:rPr>
      </w:pPr>
    </w:p>
    <w:p>
      <w:pPr>
        <w:spacing w:line="360" w:lineRule="auto"/>
        <w:jc w:val="center"/>
        <w:rPr>
          <w:rFonts w:hint="eastAsia" w:ascii="方正小标宋简体" w:hAnsi="方正小标宋简体" w:eastAsia="方正小标宋简体" w:cs="方正小标宋简体"/>
          <w:b/>
          <w:sz w:val="36"/>
          <w:szCs w:val="36"/>
        </w:rPr>
      </w:pPr>
      <w:bookmarkStart w:id="17"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香港库房租赁服务  </w:t>
      </w:r>
      <w:r>
        <w:rPr>
          <w:rFonts w:hint="eastAsia" w:ascii="宋体" w:hAnsi="宋体"/>
          <w:sz w:val="24"/>
        </w:rPr>
        <w:t>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hint="eastAsia"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hint="eastAsia"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hint="eastAsia" w:ascii="宋体" w:hAnsi="宋体"/>
          <w:sz w:val="24"/>
        </w:rPr>
      </w:pPr>
      <w:r>
        <w:rPr>
          <w:rFonts w:ascii="宋体" w:hAnsi="宋体"/>
          <w:sz w:val="24"/>
        </w:rPr>
        <w:t>年   月   日</w:t>
      </w:r>
      <w:bookmarkEnd w:id="17"/>
    </w:p>
    <w:p>
      <w:pPr>
        <w:spacing w:line="300" w:lineRule="auto"/>
        <w:ind w:right="420"/>
        <w:jc w:val="center"/>
        <w:rPr>
          <w:rFonts w:hint="eastAsia" w:ascii="宋体" w:hAnsi="宋体"/>
          <w:sz w:val="24"/>
        </w:rPr>
      </w:pPr>
      <w:r>
        <w:rPr>
          <w:rFonts w:ascii="宋体" w:hAnsi="宋体"/>
          <w:sz w:val="24"/>
        </w:rPr>
        <w:br w:type="page"/>
      </w:r>
    </w:p>
    <w:p>
      <w:pPr>
        <w:spacing w:line="300" w:lineRule="auto"/>
        <w:ind w:right="420"/>
        <w:outlineLvl w:val="1"/>
        <w:rPr>
          <w:rFonts w:hint="eastAsia" w:ascii="黑体" w:hAnsi="宋体" w:eastAsia="黑体"/>
          <w:sz w:val="30"/>
          <w:szCs w:val="30"/>
        </w:rPr>
      </w:pPr>
      <w:r>
        <w:rPr>
          <w:rFonts w:hint="eastAsia" w:ascii="黑体" w:hAnsi="宋体" w:eastAsia="黑体"/>
          <w:sz w:val="30"/>
          <w:szCs w:val="30"/>
        </w:rPr>
        <w:t>七、廉洁协议</w:t>
      </w:r>
    </w:p>
    <w:p>
      <w:pPr>
        <w:snapToGrid w:val="0"/>
        <w:spacing w:line="560" w:lineRule="exact"/>
        <w:rPr>
          <w:rFonts w:ascii="仿宋_GB2312"/>
          <w:szCs w:val="32"/>
        </w:rPr>
      </w:pPr>
      <w:r>
        <w:rPr>
          <w:rFonts w:hint="eastAsia" w:ascii="仿宋_GB2312"/>
          <w:szCs w:val="32"/>
        </w:rPr>
        <w:t xml:space="preserve">项目名称：香港库房租赁服务                                     </w:t>
      </w:r>
    </w:p>
    <w:p>
      <w:pPr>
        <w:snapToGrid w:val="0"/>
        <w:spacing w:line="560" w:lineRule="exact"/>
        <w:rPr>
          <w:rFonts w:ascii="仿宋_GB2312"/>
          <w:szCs w:val="32"/>
        </w:rPr>
      </w:pPr>
      <w:bookmarkStart w:id="18" w:name="_Toc11907_WPSOffice_Level1"/>
      <w:bookmarkStart w:id="19" w:name="_Toc11341_WPSOffice_Level1"/>
      <w:bookmarkStart w:id="20" w:name="_Toc26253_WPSOffice_Level1"/>
      <w:r>
        <w:rPr>
          <w:rFonts w:hint="eastAsia" w:ascii="仿宋_GB2312"/>
          <w:szCs w:val="32"/>
        </w:rPr>
        <w:t>甲  方：</w:t>
      </w:r>
      <w:bookmarkEnd w:id="18"/>
      <w:bookmarkEnd w:id="19"/>
      <w:bookmarkEnd w:id="20"/>
      <w:r>
        <w:rPr>
          <w:rFonts w:hint="eastAsia" w:ascii="仿宋_GB2312"/>
          <w:szCs w:val="32"/>
        </w:rPr>
        <w:t>上海飞机客户服务有限公司</w:t>
      </w:r>
    </w:p>
    <w:p>
      <w:pPr>
        <w:snapToGrid w:val="0"/>
        <w:spacing w:line="560" w:lineRule="exact"/>
        <w:rPr>
          <w:rFonts w:ascii="仿宋_GB2312"/>
          <w:szCs w:val="32"/>
        </w:rPr>
      </w:pPr>
      <w:bookmarkStart w:id="21" w:name="_Toc31341_WPSOffice_Level1"/>
      <w:bookmarkStart w:id="22" w:name="_Toc25445_WPSOffice_Level1"/>
      <w:bookmarkStart w:id="23" w:name="_Toc27021_WPSOffice_Level1"/>
      <w:r>
        <w:rPr>
          <w:rFonts w:hint="eastAsia" w:ascii="仿宋_GB2312"/>
          <w:szCs w:val="32"/>
        </w:rPr>
        <w:t>乙  方：</w:t>
      </w:r>
      <w:bookmarkEnd w:id="21"/>
      <w:bookmarkEnd w:id="22"/>
      <w:bookmarkEnd w:id="23"/>
    </w:p>
    <w:p>
      <w:pPr>
        <w:tabs>
          <w:tab w:val="left" w:pos="6300"/>
        </w:tabs>
        <w:snapToGrid w:val="0"/>
        <w:spacing w:line="460" w:lineRule="exact"/>
        <w:ind w:firstLine="573"/>
        <w:rPr>
          <w:rFonts w:hint="eastAsia"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hint="eastAsia"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hint="eastAsia"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hint="eastAsia"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hint="eastAsia"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hint="eastAsia"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rPr>
      </w:pPr>
      <w:r>
        <w:rPr>
          <w:rFonts w:hint="eastAsia" w:ascii="宋体" w:hAnsi="宋体"/>
          <w:sz w:val="24"/>
        </w:rPr>
        <w:t>七、本协议作为</w:t>
      </w:r>
      <w:r>
        <w:rPr>
          <w:rFonts w:hint="eastAsia"/>
          <w:lang w:eastAsia="zh-CN"/>
        </w:rPr>
        <w:t>《</w:t>
      </w:r>
      <w:r>
        <w:rPr>
          <w:rFonts w:hint="eastAsia" w:ascii="宋体" w:hAnsi="宋体"/>
          <w:sz w:val="24"/>
          <w:lang w:eastAsia="zh-CN"/>
        </w:rPr>
        <w:t>香港库房租赁服务》响应文件</w:t>
      </w:r>
      <w:r>
        <w:rPr>
          <w:rFonts w:hint="eastAsia" w:ascii="宋体" w:hAnsi="宋体"/>
          <w:sz w:val="24"/>
        </w:rPr>
        <w:t>的附件，具有与其同等的法律效力。</w:t>
      </w:r>
    </w:p>
    <w:sectPr>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v:textbox>
            </v:shape>
          </w:pict>
        </mc:Fallback>
      </mc:AlternateContent>
    </w:r>
  </w:p>
  <w:p>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9"/>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9B3668D3"/>
    <w:multiLevelType w:val="singleLevel"/>
    <w:tmpl w:val="9B3668D3"/>
    <w:lvl w:ilvl="0" w:tentative="0">
      <w:start w:val="1"/>
      <w:numFmt w:val="decimal"/>
      <w:suff w:val="nothing"/>
      <w:lvlText w:val="（%1）"/>
      <w:lvlJc w:val="left"/>
    </w:lvl>
  </w:abstractNum>
  <w:abstractNum w:abstractNumId="4">
    <w:nsid w:val="A081329F"/>
    <w:multiLevelType w:val="singleLevel"/>
    <w:tmpl w:val="A081329F"/>
    <w:lvl w:ilvl="0" w:tentative="0">
      <w:start w:val="1"/>
      <w:numFmt w:val="decimal"/>
      <w:lvlText w:val="%1)"/>
      <w:lvlJc w:val="left"/>
      <w:pPr>
        <w:ind w:left="425" w:hanging="425"/>
      </w:pPr>
      <w:rPr>
        <w:rFonts w:hint="default"/>
      </w:rPr>
    </w:lvl>
  </w:abstractNum>
  <w:abstractNum w:abstractNumId="5">
    <w:nsid w:val="AC252D41"/>
    <w:multiLevelType w:val="singleLevel"/>
    <w:tmpl w:val="AC252D41"/>
    <w:lvl w:ilvl="0" w:tentative="0">
      <w:start w:val="1"/>
      <w:numFmt w:val="decimal"/>
      <w:lvlText w:val="%1)"/>
      <w:lvlJc w:val="left"/>
      <w:pPr>
        <w:ind w:left="425" w:hanging="425"/>
      </w:pPr>
      <w:rPr>
        <w:rFonts w:hint="default"/>
      </w:rPr>
    </w:lvl>
  </w:abstractNum>
  <w:abstractNum w:abstractNumId="6">
    <w:nsid w:val="B38B9825"/>
    <w:multiLevelType w:val="singleLevel"/>
    <w:tmpl w:val="B38B9825"/>
    <w:lvl w:ilvl="0" w:tentative="0">
      <w:start w:val="1"/>
      <w:numFmt w:val="lowerLetter"/>
      <w:lvlText w:val="%1."/>
      <w:lvlJc w:val="left"/>
      <w:pPr>
        <w:ind w:left="425" w:hanging="425"/>
      </w:pPr>
      <w:rPr>
        <w:rFonts w:hint="default"/>
      </w:rPr>
    </w:lvl>
  </w:abstractNum>
  <w:abstractNum w:abstractNumId="7">
    <w:nsid w:val="D57742C5"/>
    <w:multiLevelType w:val="singleLevel"/>
    <w:tmpl w:val="D57742C5"/>
    <w:lvl w:ilvl="0" w:tentative="0">
      <w:start w:val="1"/>
      <w:numFmt w:val="decimal"/>
      <w:suff w:val="nothing"/>
      <w:lvlText w:val="（%1）"/>
      <w:lvlJc w:val="left"/>
    </w:lvl>
  </w:abstractNum>
  <w:abstractNum w:abstractNumId="8">
    <w:nsid w:val="EECD0AED"/>
    <w:multiLevelType w:val="singleLevel"/>
    <w:tmpl w:val="EECD0AED"/>
    <w:lvl w:ilvl="0" w:tentative="0">
      <w:start w:val="1"/>
      <w:numFmt w:val="decimal"/>
      <w:suff w:val="nothing"/>
      <w:lvlText w:val="（%1）"/>
      <w:lvlJc w:val="left"/>
    </w:lvl>
  </w:abstractNum>
  <w:abstractNum w:abstractNumId="9">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10">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1">
    <w:nsid w:val="0F6429C0"/>
    <w:multiLevelType w:val="singleLevel"/>
    <w:tmpl w:val="0F6429C0"/>
    <w:lvl w:ilvl="0" w:tentative="0">
      <w:start w:val="1"/>
      <w:numFmt w:val="lowerLetter"/>
      <w:lvlText w:val="%1)"/>
      <w:lvlJc w:val="left"/>
      <w:pPr>
        <w:ind w:left="440" w:hanging="440"/>
      </w:pPr>
    </w:lvl>
  </w:abstractNum>
  <w:abstractNum w:abstractNumId="12">
    <w:nsid w:val="24714129"/>
    <w:multiLevelType w:val="singleLevel"/>
    <w:tmpl w:val="24714129"/>
    <w:lvl w:ilvl="0" w:tentative="0">
      <w:start w:val="1"/>
      <w:numFmt w:val="decimal"/>
      <w:suff w:val="nothing"/>
      <w:lvlText w:val="（%1）"/>
      <w:lvlJc w:val="left"/>
    </w:lvl>
  </w:abstractNum>
  <w:abstractNum w:abstractNumId="13">
    <w:nsid w:val="323DA0C3"/>
    <w:multiLevelType w:val="singleLevel"/>
    <w:tmpl w:val="323DA0C3"/>
    <w:lvl w:ilvl="0" w:tentative="0">
      <w:start w:val="1"/>
      <w:numFmt w:val="decimal"/>
      <w:suff w:val="nothing"/>
      <w:lvlText w:val="%1）"/>
      <w:lvlJc w:val="left"/>
    </w:lvl>
  </w:abstractNum>
  <w:abstractNum w:abstractNumId="14">
    <w:nsid w:val="4C5340E9"/>
    <w:multiLevelType w:val="singleLevel"/>
    <w:tmpl w:val="4C5340E9"/>
    <w:lvl w:ilvl="0" w:tentative="0">
      <w:start w:val="1"/>
      <w:numFmt w:val="decimal"/>
      <w:suff w:val="nothing"/>
      <w:lvlText w:val="（%1）"/>
      <w:lvlJc w:val="left"/>
    </w:lvl>
  </w:abstractNum>
  <w:abstractNum w:abstractNumId="15">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6">
    <w:nsid w:val="5BE9E2F8"/>
    <w:multiLevelType w:val="singleLevel"/>
    <w:tmpl w:val="5BE9E2F8"/>
    <w:lvl w:ilvl="0" w:tentative="0">
      <w:start w:val="1"/>
      <w:numFmt w:val="lowerLetter"/>
      <w:lvlText w:val="%1."/>
      <w:lvlJc w:val="left"/>
      <w:pPr>
        <w:ind w:left="425" w:hanging="425"/>
      </w:pPr>
      <w:rPr>
        <w:rFonts w:hint="default"/>
      </w:rPr>
    </w:lvl>
  </w:abstractNum>
  <w:abstractNum w:abstractNumId="17">
    <w:nsid w:val="71C427E3"/>
    <w:multiLevelType w:val="singleLevel"/>
    <w:tmpl w:val="71C427E3"/>
    <w:lvl w:ilvl="0" w:tentative="0">
      <w:start w:val="1"/>
      <w:numFmt w:val="bullet"/>
      <w:lvlText w:val=""/>
      <w:lvlJc w:val="left"/>
      <w:pPr>
        <w:ind w:left="420" w:hanging="420"/>
      </w:pPr>
      <w:rPr>
        <w:rFonts w:hint="default" w:ascii="Wingdings" w:hAnsi="Wingdings"/>
      </w:rPr>
    </w:lvl>
  </w:abstractNum>
  <w:abstractNum w:abstractNumId="18">
    <w:nsid w:val="7318D1E3"/>
    <w:multiLevelType w:val="singleLevel"/>
    <w:tmpl w:val="7318D1E3"/>
    <w:lvl w:ilvl="0" w:tentative="0">
      <w:start w:val="1"/>
      <w:numFmt w:val="decimal"/>
      <w:suff w:val="nothing"/>
      <w:lvlText w:val="（%1）"/>
      <w:lvlJc w:val="left"/>
    </w:lvl>
  </w:abstractNum>
  <w:abstractNum w:abstractNumId="19">
    <w:nsid w:val="748CE7CD"/>
    <w:multiLevelType w:val="singleLevel"/>
    <w:tmpl w:val="748CE7CD"/>
    <w:lvl w:ilvl="0" w:tentative="0">
      <w:start w:val="1"/>
      <w:numFmt w:val="decimal"/>
      <w:suff w:val="nothing"/>
      <w:lvlText w:val="（%1）"/>
      <w:lvlJc w:val="left"/>
    </w:lvl>
  </w:abstractNum>
  <w:abstractNum w:abstractNumId="20">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20"/>
  </w:num>
  <w:num w:numId="4">
    <w:abstractNumId w:val="1"/>
  </w:num>
  <w:num w:numId="5">
    <w:abstractNumId w:val="0"/>
  </w:num>
  <w:num w:numId="6">
    <w:abstractNumId w:val="4"/>
  </w:num>
  <w:num w:numId="7">
    <w:abstractNumId w:val="15"/>
  </w:num>
  <w:num w:numId="8">
    <w:abstractNumId w:val="13"/>
  </w:num>
  <w:num w:numId="9">
    <w:abstractNumId w:val="18"/>
  </w:num>
  <w:num w:numId="10">
    <w:abstractNumId w:val="8"/>
  </w:num>
  <w:num w:numId="11">
    <w:abstractNumId w:val="10"/>
  </w:num>
  <w:num w:numId="12">
    <w:abstractNumId w:val="16"/>
  </w:num>
  <w:num w:numId="13">
    <w:abstractNumId w:val="6"/>
  </w:num>
  <w:num w:numId="14">
    <w:abstractNumId w:val="9"/>
  </w:num>
  <w:num w:numId="15">
    <w:abstractNumId w:val="7"/>
  </w:num>
  <w:num w:numId="16">
    <w:abstractNumId w:val="17"/>
  </w:num>
  <w:num w:numId="17">
    <w:abstractNumId w:val="19"/>
  </w:num>
  <w:num w:numId="18">
    <w:abstractNumId w:val="3"/>
  </w:num>
  <w:num w:numId="19">
    <w:abstractNumId w:val="14"/>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5384"/>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804"/>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0F0C"/>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93773"/>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09E2"/>
    <w:rsid w:val="003316EC"/>
    <w:rsid w:val="00334C2E"/>
    <w:rsid w:val="00344041"/>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56F9"/>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0D"/>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70901"/>
    <w:rsid w:val="0058348F"/>
    <w:rsid w:val="005846CD"/>
    <w:rsid w:val="005908FA"/>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35F1"/>
    <w:rsid w:val="005C44A9"/>
    <w:rsid w:val="005C6C92"/>
    <w:rsid w:val="005D1B59"/>
    <w:rsid w:val="005D3476"/>
    <w:rsid w:val="005D4CF2"/>
    <w:rsid w:val="005D6F81"/>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0F00"/>
    <w:rsid w:val="0067158C"/>
    <w:rsid w:val="006759AB"/>
    <w:rsid w:val="00675A92"/>
    <w:rsid w:val="006766FE"/>
    <w:rsid w:val="00681B49"/>
    <w:rsid w:val="00687657"/>
    <w:rsid w:val="00690FBE"/>
    <w:rsid w:val="0069264B"/>
    <w:rsid w:val="00694720"/>
    <w:rsid w:val="006968FE"/>
    <w:rsid w:val="006A1245"/>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3AB"/>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1ABC"/>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C34DD"/>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5762D"/>
    <w:rsid w:val="00860C9C"/>
    <w:rsid w:val="00863B24"/>
    <w:rsid w:val="00864F91"/>
    <w:rsid w:val="0086698A"/>
    <w:rsid w:val="00866DB5"/>
    <w:rsid w:val="0086756B"/>
    <w:rsid w:val="00870713"/>
    <w:rsid w:val="008739E6"/>
    <w:rsid w:val="0087796A"/>
    <w:rsid w:val="00882970"/>
    <w:rsid w:val="00885549"/>
    <w:rsid w:val="00892C5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117D"/>
    <w:rsid w:val="009A40D9"/>
    <w:rsid w:val="009A7C95"/>
    <w:rsid w:val="009B1B46"/>
    <w:rsid w:val="009B1E14"/>
    <w:rsid w:val="009B292B"/>
    <w:rsid w:val="009B5C12"/>
    <w:rsid w:val="009D1618"/>
    <w:rsid w:val="009D309B"/>
    <w:rsid w:val="009D48B6"/>
    <w:rsid w:val="009E5295"/>
    <w:rsid w:val="009E6743"/>
    <w:rsid w:val="009E6981"/>
    <w:rsid w:val="009F2593"/>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E70B9"/>
    <w:rsid w:val="00AF380E"/>
    <w:rsid w:val="00AF6972"/>
    <w:rsid w:val="00B0338C"/>
    <w:rsid w:val="00B04839"/>
    <w:rsid w:val="00B0745B"/>
    <w:rsid w:val="00B12609"/>
    <w:rsid w:val="00B1341E"/>
    <w:rsid w:val="00B1455B"/>
    <w:rsid w:val="00B14DE0"/>
    <w:rsid w:val="00B16095"/>
    <w:rsid w:val="00B16B06"/>
    <w:rsid w:val="00B16BB6"/>
    <w:rsid w:val="00B2026D"/>
    <w:rsid w:val="00B25196"/>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1299"/>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09F3"/>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48EF"/>
    <w:rsid w:val="00EA5B2E"/>
    <w:rsid w:val="00EA6CB6"/>
    <w:rsid w:val="00EC22CD"/>
    <w:rsid w:val="00EC6AC4"/>
    <w:rsid w:val="00EC6F74"/>
    <w:rsid w:val="00ED080A"/>
    <w:rsid w:val="00ED6BD8"/>
    <w:rsid w:val="00EE0116"/>
    <w:rsid w:val="00EE3BC8"/>
    <w:rsid w:val="00EE59B8"/>
    <w:rsid w:val="00EE769A"/>
    <w:rsid w:val="00EF040A"/>
    <w:rsid w:val="00EF1D7F"/>
    <w:rsid w:val="00EF58F6"/>
    <w:rsid w:val="00EF5EDD"/>
    <w:rsid w:val="00F0196E"/>
    <w:rsid w:val="00F02421"/>
    <w:rsid w:val="00F03476"/>
    <w:rsid w:val="00F106AA"/>
    <w:rsid w:val="00F150E5"/>
    <w:rsid w:val="00F17354"/>
    <w:rsid w:val="00F20222"/>
    <w:rsid w:val="00F204DC"/>
    <w:rsid w:val="00F23E9A"/>
    <w:rsid w:val="00F24119"/>
    <w:rsid w:val="00F31664"/>
    <w:rsid w:val="00F31AB8"/>
    <w:rsid w:val="00F34756"/>
    <w:rsid w:val="00F3786D"/>
    <w:rsid w:val="00F41793"/>
    <w:rsid w:val="00F50E19"/>
    <w:rsid w:val="00F5362D"/>
    <w:rsid w:val="00F57135"/>
    <w:rsid w:val="00F6722F"/>
    <w:rsid w:val="00F707B0"/>
    <w:rsid w:val="00F70BF1"/>
    <w:rsid w:val="00F75954"/>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E77EF4"/>
    <w:rsid w:val="043470C7"/>
    <w:rsid w:val="04500139"/>
    <w:rsid w:val="051D437B"/>
    <w:rsid w:val="05CE08B1"/>
    <w:rsid w:val="06137317"/>
    <w:rsid w:val="0621036A"/>
    <w:rsid w:val="065E5F7F"/>
    <w:rsid w:val="0670360C"/>
    <w:rsid w:val="067C4E90"/>
    <w:rsid w:val="069275E1"/>
    <w:rsid w:val="06A12A56"/>
    <w:rsid w:val="06EC34E9"/>
    <w:rsid w:val="06F517F0"/>
    <w:rsid w:val="0704425F"/>
    <w:rsid w:val="071C7C62"/>
    <w:rsid w:val="072169D1"/>
    <w:rsid w:val="08DB2CD5"/>
    <w:rsid w:val="090C4141"/>
    <w:rsid w:val="091B523C"/>
    <w:rsid w:val="09381A80"/>
    <w:rsid w:val="096762D6"/>
    <w:rsid w:val="0A005A35"/>
    <w:rsid w:val="0A3F657B"/>
    <w:rsid w:val="0A5E508E"/>
    <w:rsid w:val="0AC804D8"/>
    <w:rsid w:val="0B200E94"/>
    <w:rsid w:val="0B337690"/>
    <w:rsid w:val="0B4B6FA0"/>
    <w:rsid w:val="0B7979E1"/>
    <w:rsid w:val="0B7C5D95"/>
    <w:rsid w:val="0B80309F"/>
    <w:rsid w:val="0BBE4F2B"/>
    <w:rsid w:val="0BDE32ED"/>
    <w:rsid w:val="0C2F504F"/>
    <w:rsid w:val="0CCF37E3"/>
    <w:rsid w:val="0CF2414E"/>
    <w:rsid w:val="0D452B30"/>
    <w:rsid w:val="0D4A7508"/>
    <w:rsid w:val="0D745881"/>
    <w:rsid w:val="0D851897"/>
    <w:rsid w:val="0DAD5CE9"/>
    <w:rsid w:val="0E1516F4"/>
    <w:rsid w:val="0E53500F"/>
    <w:rsid w:val="0E5F17BF"/>
    <w:rsid w:val="0E5F6EAC"/>
    <w:rsid w:val="0F543F79"/>
    <w:rsid w:val="0F5E0B98"/>
    <w:rsid w:val="0FB15903"/>
    <w:rsid w:val="0FD57A0D"/>
    <w:rsid w:val="0FE060A8"/>
    <w:rsid w:val="10D66F9B"/>
    <w:rsid w:val="10F94FB7"/>
    <w:rsid w:val="1196301E"/>
    <w:rsid w:val="11A14A23"/>
    <w:rsid w:val="11B240B6"/>
    <w:rsid w:val="11BD3052"/>
    <w:rsid w:val="123C2E22"/>
    <w:rsid w:val="12537258"/>
    <w:rsid w:val="12663E0A"/>
    <w:rsid w:val="12692584"/>
    <w:rsid w:val="126F740F"/>
    <w:rsid w:val="12B32BBD"/>
    <w:rsid w:val="12B423C4"/>
    <w:rsid w:val="135F592B"/>
    <w:rsid w:val="1368531C"/>
    <w:rsid w:val="13B34BAA"/>
    <w:rsid w:val="13BB5DA6"/>
    <w:rsid w:val="13DC0837"/>
    <w:rsid w:val="13E232C0"/>
    <w:rsid w:val="14045C7B"/>
    <w:rsid w:val="14087C7D"/>
    <w:rsid w:val="144540C9"/>
    <w:rsid w:val="146174DB"/>
    <w:rsid w:val="148A37E3"/>
    <w:rsid w:val="14A43CE1"/>
    <w:rsid w:val="14C1118B"/>
    <w:rsid w:val="14E019A7"/>
    <w:rsid w:val="14E60E46"/>
    <w:rsid w:val="14E94101"/>
    <w:rsid w:val="14FE36FD"/>
    <w:rsid w:val="15174001"/>
    <w:rsid w:val="156D2E6B"/>
    <w:rsid w:val="156D4456"/>
    <w:rsid w:val="15823B4A"/>
    <w:rsid w:val="15CA49D5"/>
    <w:rsid w:val="16362C78"/>
    <w:rsid w:val="168579CB"/>
    <w:rsid w:val="16BD43DD"/>
    <w:rsid w:val="16DA5A6D"/>
    <w:rsid w:val="17174F31"/>
    <w:rsid w:val="173919BD"/>
    <w:rsid w:val="17756394"/>
    <w:rsid w:val="17A00ACA"/>
    <w:rsid w:val="17D651A8"/>
    <w:rsid w:val="18384C32"/>
    <w:rsid w:val="1856395B"/>
    <w:rsid w:val="1905493A"/>
    <w:rsid w:val="19116C4C"/>
    <w:rsid w:val="191E4BAF"/>
    <w:rsid w:val="19350136"/>
    <w:rsid w:val="193E46C0"/>
    <w:rsid w:val="19F426A2"/>
    <w:rsid w:val="1A0D6AD1"/>
    <w:rsid w:val="1A270B23"/>
    <w:rsid w:val="1A3609FE"/>
    <w:rsid w:val="1A6C19AE"/>
    <w:rsid w:val="1ABB49D8"/>
    <w:rsid w:val="1B025470"/>
    <w:rsid w:val="1B441DEB"/>
    <w:rsid w:val="1B8B6B3B"/>
    <w:rsid w:val="1BDA60FC"/>
    <w:rsid w:val="1BE57156"/>
    <w:rsid w:val="1BEC650A"/>
    <w:rsid w:val="1C073CE1"/>
    <w:rsid w:val="1C501688"/>
    <w:rsid w:val="1CDE5D4F"/>
    <w:rsid w:val="1D0704D7"/>
    <w:rsid w:val="1D8D48EF"/>
    <w:rsid w:val="1DC460EA"/>
    <w:rsid w:val="1E4D45F2"/>
    <w:rsid w:val="1E774998"/>
    <w:rsid w:val="1F3A24AA"/>
    <w:rsid w:val="1F3B72D9"/>
    <w:rsid w:val="1F532FD0"/>
    <w:rsid w:val="202F56BC"/>
    <w:rsid w:val="2036128B"/>
    <w:rsid w:val="203B3F64"/>
    <w:rsid w:val="20446A81"/>
    <w:rsid w:val="20781CFD"/>
    <w:rsid w:val="20BE3894"/>
    <w:rsid w:val="20C04366"/>
    <w:rsid w:val="20C30808"/>
    <w:rsid w:val="20C57325"/>
    <w:rsid w:val="20D91551"/>
    <w:rsid w:val="20F44010"/>
    <w:rsid w:val="21315EC9"/>
    <w:rsid w:val="2163494E"/>
    <w:rsid w:val="217B1C7E"/>
    <w:rsid w:val="2204756D"/>
    <w:rsid w:val="223B4B41"/>
    <w:rsid w:val="224A5AB1"/>
    <w:rsid w:val="2263269E"/>
    <w:rsid w:val="22A07C3A"/>
    <w:rsid w:val="22AE014D"/>
    <w:rsid w:val="22B342AA"/>
    <w:rsid w:val="22EB1946"/>
    <w:rsid w:val="23324E68"/>
    <w:rsid w:val="23464D85"/>
    <w:rsid w:val="239E1CF6"/>
    <w:rsid w:val="23E946FC"/>
    <w:rsid w:val="24121853"/>
    <w:rsid w:val="244C68E1"/>
    <w:rsid w:val="24566371"/>
    <w:rsid w:val="245E1A25"/>
    <w:rsid w:val="24877038"/>
    <w:rsid w:val="24D94F91"/>
    <w:rsid w:val="25125F53"/>
    <w:rsid w:val="25387E72"/>
    <w:rsid w:val="25577ED0"/>
    <w:rsid w:val="259122AC"/>
    <w:rsid w:val="25A227A8"/>
    <w:rsid w:val="26684D52"/>
    <w:rsid w:val="266F50C2"/>
    <w:rsid w:val="269A4248"/>
    <w:rsid w:val="26A92A5C"/>
    <w:rsid w:val="270C3C8C"/>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8A6631"/>
    <w:rsid w:val="2ACD4A0C"/>
    <w:rsid w:val="2AE53185"/>
    <w:rsid w:val="2B8B6165"/>
    <w:rsid w:val="2BFF2352"/>
    <w:rsid w:val="2C203ACA"/>
    <w:rsid w:val="2C73418E"/>
    <w:rsid w:val="2C8A4CBD"/>
    <w:rsid w:val="2CA77337"/>
    <w:rsid w:val="2D00520D"/>
    <w:rsid w:val="2D5847BF"/>
    <w:rsid w:val="2D91716B"/>
    <w:rsid w:val="2DC168E5"/>
    <w:rsid w:val="2DD10AC0"/>
    <w:rsid w:val="2DE1186A"/>
    <w:rsid w:val="2DEB6203"/>
    <w:rsid w:val="2E0B037E"/>
    <w:rsid w:val="2E12020E"/>
    <w:rsid w:val="2EEF3774"/>
    <w:rsid w:val="2F9B57AF"/>
    <w:rsid w:val="2FC52E54"/>
    <w:rsid w:val="2FE55C1B"/>
    <w:rsid w:val="2FF15986"/>
    <w:rsid w:val="306F4921"/>
    <w:rsid w:val="3126769E"/>
    <w:rsid w:val="31503526"/>
    <w:rsid w:val="319D46FC"/>
    <w:rsid w:val="31B922F7"/>
    <w:rsid w:val="31F91FD1"/>
    <w:rsid w:val="32002D3D"/>
    <w:rsid w:val="32107124"/>
    <w:rsid w:val="32D42A5C"/>
    <w:rsid w:val="32DA4CC2"/>
    <w:rsid w:val="32DE53BE"/>
    <w:rsid w:val="32E8739E"/>
    <w:rsid w:val="332E1FAC"/>
    <w:rsid w:val="3340083E"/>
    <w:rsid w:val="334208C5"/>
    <w:rsid w:val="335419FA"/>
    <w:rsid w:val="335D4CB2"/>
    <w:rsid w:val="33BD3BA0"/>
    <w:rsid w:val="33F14632"/>
    <w:rsid w:val="34162A51"/>
    <w:rsid w:val="341A2FA9"/>
    <w:rsid w:val="342B2DD1"/>
    <w:rsid w:val="344E2C5B"/>
    <w:rsid w:val="345A39DC"/>
    <w:rsid w:val="34954273"/>
    <w:rsid w:val="349636B7"/>
    <w:rsid w:val="355E7AAD"/>
    <w:rsid w:val="358B5E16"/>
    <w:rsid w:val="361974A5"/>
    <w:rsid w:val="368D0BC4"/>
    <w:rsid w:val="37BA5855"/>
    <w:rsid w:val="37DD7DB5"/>
    <w:rsid w:val="38191F15"/>
    <w:rsid w:val="3828658F"/>
    <w:rsid w:val="382C452C"/>
    <w:rsid w:val="38751881"/>
    <w:rsid w:val="393955E2"/>
    <w:rsid w:val="393F054C"/>
    <w:rsid w:val="39A238A1"/>
    <w:rsid w:val="39CE6C84"/>
    <w:rsid w:val="3A211E80"/>
    <w:rsid w:val="3A472B36"/>
    <w:rsid w:val="3A8E58C2"/>
    <w:rsid w:val="3AA730B7"/>
    <w:rsid w:val="3AA91E24"/>
    <w:rsid w:val="3AD547A6"/>
    <w:rsid w:val="3AEE09AC"/>
    <w:rsid w:val="3B0A0CCF"/>
    <w:rsid w:val="3B0D4E28"/>
    <w:rsid w:val="3B332D48"/>
    <w:rsid w:val="3B447CE3"/>
    <w:rsid w:val="3BC817D7"/>
    <w:rsid w:val="3BEA4ED6"/>
    <w:rsid w:val="3C4416C7"/>
    <w:rsid w:val="3C5B00D7"/>
    <w:rsid w:val="3C7B55D8"/>
    <w:rsid w:val="3C7E5D8E"/>
    <w:rsid w:val="3C8A0C65"/>
    <w:rsid w:val="3CA70800"/>
    <w:rsid w:val="3CDF48D3"/>
    <w:rsid w:val="3CF64B27"/>
    <w:rsid w:val="3D086998"/>
    <w:rsid w:val="3D163675"/>
    <w:rsid w:val="3D242598"/>
    <w:rsid w:val="3D352A2F"/>
    <w:rsid w:val="3D437C86"/>
    <w:rsid w:val="3DA33CF8"/>
    <w:rsid w:val="3DA574A2"/>
    <w:rsid w:val="3DB06E52"/>
    <w:rsid w:val="3DB45CC8"/>
    <w:rsid w:val="3DE507C3"/>
    <w:rsid w:val="3E020949"/>
    <w:rsid w:val="3E1E32B8"/>
    <w:rsid w:val="3E283E77"/>
    <w:rsid w:val="3E57494A"/>
    <w:rsid w:val="3E783174"/>
    <w:rsid w:val="3EAA76B2"/>
    <w:rsid w:val="3EF151E5"/>
    <w:rsid w:val="3F7917A8"/>
    <w:rsid w:val="3FB347AD"/>
    <w:rsid w:val="3FD873C0"/>
    <w:rsid w:val="3FFD5989"/>
    <w:rsid w:val="40062050"/>
    <w:rsid w:val="40454207"/>
    <w:rsid w:val="40870040"/>
    <w:rsid w:val="40884A49"/>
    <w:rsid w:val="408C3D95"/>
    <w:rsid w:val="408E5170"/>
    <w:rsid w:val="40B437D5"/>
    <w:rsid w:val="40B47BD4"/>
    <w:rsid w:val="40BE1A90"/>
    <w:rsid w:val="40E75FA9"/>
    <w:rsid w:val="412A2641"/>
    <w:rsid w:val="41426A1E"/>
    <w:rsid w:val="41913657"/>
    <w:rsid w:val="41A26732"/>
    <w:rsid w:val="41D93F68"/>
    <w:rsid w:val="42525837"/>
    <w:rsid w:val="42DE485A"/>
    <w:rsid w:val="42E02846"/>
    <w:rsid w:val="43397C3E"/>
    <w:rsid w:val="43430E5B"/>
    <w:rsid w:val="4347582D"/>
    <w:rsid w:val="4395506D"/>
    <w:rsid w:val="43BC1C5B"/>
    <w:rsid w:val="43C12084"/>
    <w:rsid w:val="43D6459A"/>
    <w:rsid w:val="43FC690E"/>
    <w:rsid w:val="44051842"/>
    <w:rsid w:val="440D6A4F"/>
    <w:rsid w:val="443F5BBB"/>
    <w:rsid w:val="4465403F"/>
    <w:rsid w:val="44C21392"/>
    <w:rsid w:val="44FB0FAC"/>
    <w:rsid w:val="451A590C"/>
    <w:rsid w:val="4540061E"/>
    <w:rsid w:val="45740B37"/>
    <w:rsid w:val="464F6CC4"/>
    <w:rsid w:val="4650709C"/>
    <w:rsid w:val="46757D3F"/>
    <w:rsid w:val="46BC55F1"/>
    <w:rsid w:val="46C415BB"/>
    <w:rsid w:val="476C65B4"/>
    <w:rsid w:val="477B4F48"/>
    <w:rsid w:val="47B70E22"/>
    <w:rsid w:val="48312377"/>
    <w:rsid w:val="483823F0"/>
    <w:rsid w:val="48920822"/>
    <w:rsid w:val="48CE03CF"/>
    <w:rsid w:val="48D27BEE"/>
    <w:rsid w:val="492A1758"/>
    <w:rsid w:val="492E569F"/>
    <w:rsid w:val="4942504E"/>
    <w:rsid w:val="49802E37"/>
    <w:rsid w:val="49B5288E"/>
    <w:rsid w:val="49C8494B"/>
    <w:rsid w:val="49D42A91"/>
    <w:rsid w:val="49D95585"/>
    <w:rsid w:val="49F7174C"/>
    <w:rsid w:val="4A1F7FB4"/>
    <w:rsid w:val="4A9D5589"/>
    <w:rsid w:val="4AAF5BC7"/>
    <w:rsid w:val="4AB769E1"/>
    <w:rsid w:val="4AF82359"/>
    <w:rsid w:val="4AFF3F1B"/>
    <w:rsid w:val="4B3319C2"/>
    <w:rsid w:val="4B81009A"/>
    <w:rsid w:val="4BB13D7C"/>
    <w:rsid w:val="4BCA763E"/>
    <w:rsid w:val="4C0E27EA"/>
    <w:rsid w:val="4CB272BC"/>
    <w:rsid w:val="4CE23669"/>
    <w:rsid w:val="4CEE653A"/>
    <w:rsid w:val="4D3168F1"/>
    <w:rsid w:val="4D6273EE"/>
    <w:rsid w:val="4D92643C"/>
    <w:rsid w:val="4E0A6DE5"/>
    <w:rsid w:val="4E0E1E1D"/>
    <w:rsid w:val="4E892901"/>
    <w:rsid w:val="4EB4472E"/>
    <w:rsid w:val="4ED2389A"/>
    <w:rsid w:val="4ED84D74"/>
    <w:rsid w:val="4EFC30E6"/>
    <w:rsid w:val="4F18132B"/>
    <w:rsid w:val="4F7F7D3E"/>
    <w:rsid w:val="4F9255D1"/>
    <w:rsid w:val="4F9B322D"/>
    <w:rsid w:val="4F9D39CF"/>
    <w:rsid w:val="4FB677D0"/>
    <w:rsid w:val="5014639A"/>
    <w:rsid w:val="50B13258"/>
    <w:rsid w:val="50DA2582"/>
    <w:rsid w:val="50EE65D2"/>
    <w:rsid w:val="50F46031"/>
    <w:rsid w:val="511A5F4C"/>
    <w:rsid w:val="512319B3"/>
    <w:rsid w:val="51936A44"/>
    <w:rsid w:val="51CF5ACA"/>
    <w:rsid w:val="52781EC3"/>
    <w:rsid w:val="529F6AF7"/>
    <w:rsid w:val="52B71A9E"/>
    <w:rsid w:val="52E02F27"/>
    <w:rsid w:val="530D226F"/>
    <w:rsid w:val="53470A6E"/>
    <w:rsid w:val="536C538B"/>
    <w:rsid w:val="539377DA"/>
    <w:rsid w:val="53CF4230"/>
    <w:rsid w:val="53D475D4"/>
    <w:rsid w:val="541D6CC0"/>
    <w:rsid w:val="5443464B"/>
    <w:rsid w:val="54570633"/>
    <w:rsid w:val="54705C46"/>
    <w:rsid w:val="54A560B8"/>
    <w:rsid w:val="54DD308F"/>
    <w:rsid w:val="556C4B0C"/>
    <w:rsid w:val="56790A89"/>
    <w:rsid w:val="567C0EDE"/>
    <w:rsid w:val="56874563"/>
    <w:rsid w:val="569D3217"/>
    <w:rsid w:val="56BA69E6"/>
    <w:rsid w:val="574345D9"/>
    <w:rsid w:val="57741F4B"/>
    <w:rsid w:val="578F4BA3"/>
    <w:rsid w:val="57A05166"/>
    <w:rsid w:val="57AE7514"/>
    <w:rsid w:val="57B71ABF"/>
    <w:rsid w:val="57E047C9"/>
    <w:rsid w:val="58676CB9"/>
    <w:rsid w:val="589F2D24"/>
    <w:rsid w:val="58D40387"/>
    <w:rsid w:val="58F92360"/>
    <w:rsid w:val="590E7106"/>
    <w:rsid w:val="59167DF8"/>
    <w:rsid w:val="591B5EDB"/>
    <w:rsid w:val="59380FD3"/>
    <w:rsid w:val="597E4EA1"/>
    <w:rsid w:val="59B42C2A"/>
    <w:rsid w:val="59C96626"/>
    <w:rsid w:val="5A586B40"/>
    <w:rsid w:val="5AA93B8D"/>
    <w:rsid w:val="5AB14087"/>
    <w:rsid w:val="5AD261F1"/>
    <w:rsid w:val="5B3234EA"/>
    <w:rsid w:val="5BB55D66"/>
    <w:rsid w:val="5C1E6868"/>
    <w:rsid w:val="5C3558FF"/>
    <w:rsid w:val="5C6806E1"/>
    <w:rsid w:val="5C7266EF"/>
    <w:rsid w:val="5C8B05C2"/>
    <w:rsid w:val="5CB60039"/>
    <w:rsid w:val="5CC00EBB"/>
    <w:rsid w:val="5CC83D6A"/>
    <w:rsid w:val="5CEC747F"/>
    <w:rsid w:val="5D192B61"/>
    <w:rsid w:val="5D3A3A8E"/>
    <w:rsid w:val="5D8B73E8"/>
    <w:rsid w:val="5D980C1C"/>
    <w:rsid w:val="5D995489"/>
    <w:rsid w:val="5DB079E6"/>
    <w:rsid w:val="5DD404E3"/>
    <w:rsid w:val="5DF003F9"/>
    <w:rsid w:val="5E131A5B"/>
    <w:rsid w:val="5E542C79"/>
    <w:rsid w:val="5E74207B"/>
    <w:rsid w:val="5E9444BE"/>
    <w:rsid w:val="5EAE2A8E"/>
    <w:rsid w:val="5EBF4327"/>
    <w:rsid w:val="5F031EFE"/>
    <w:rsid w:val="5F177051"/>
    <w:rsid w:val="5F4B6CF7"/>
    <w:rsid w:val="5F4E03BF"/>
    <w:rsid w:val="5FA65D2B"/>
    <w:rsid w:val="5FB60AF1"/>
    <w:rsid w:val="5FBF39E2"/>
    <w:rsid w:val="5FF10499"/>
    <w:rsid w:val="5FFA19B8"/>
    <w:rsid w:val="600A0FCC"/>
    <w:rsid w:val="603C3DD6"/>
    <w:rsid w:val="607307A7"/>
    <w:rsid w:val="60B1588E"/>
    <w:rsid w:val="60E87D54"/>
    <w:rsid w:val="611430D1"/>
    <w:rsid w:val="612A6C77"/>
    <w:rsid w:val="6160329F"/>
    <w:rsid w:val="617430B6"/>
    <w:rsid w:val="619B2A7B"/>
    <w:rsid w:val="61AB599D"/>
    <w:rsid w:val="620E4923"/>
    <w:rsid w:val="6237380D"/>
    <w:rsid w:val="6240283F"/>
    <w:rsid w:val="62A05B67"/>
    <w:rsid w:val="62DB5692"/>
    <w:rsid w:val="62ED43B5"/>
    <w:rsid w:val="62F23955"/>
    <w:rsid w:val="62F903B5"/>
    <w:rsid w:val="63C02B07"/>
    <w:rsid w:val="64557D2B"/>
    <w:rsid w:val="64AE2D29"/>
    <w:rsid w:val="65354C04"/>
    <w:rsid w:val="655A788A"/>
    <w:rsid w:val="65E94704"/>
    <w:rsid w:val="66D336B8"/>
    <w:rsid w:val="6709159B"/>
    <w:rsid w:val="671C3839"/>
    <w:rsid w:val="672C1EBA"/>
    <w:rsid w:val="673A6B86"/>
    <w:rsid w:val="674E77BF"/>
    <w:rsid w:val="677055CA"/>
    <w:rsid w:val="678E0367"/>
    <w:rsid w:val="679369A3"/>
    <w:rsid w:val="679961AA"/>
    <w:rsid w:val="67B760D2"/>
    <w:rsid w:val="682929B5"/>
    <w:rsid w:val="682F6EAD"/>
    <w:rsid w:val="68515C67"/>
    <w:rsid w:val="68BE3EA3"/>
    <w:rsid w:val="69180420"/>
    <w:rsid w:val="69347E1B"/>
    <w:rsid w:val="694E5040"/>
    <w:rsid w:val="695A6918"/>
    <w:rsid w:val="697D2AD1"/>
    <w:rsid w:val="6A385A84"/>
    <w:rsid w:val="6A484A8B"/>
    <w:rsid w:val="6A4B6C7D"/>
    <w:rsid w:val="6A520A5B"/>
    <w:rsid w:val="6A791D9F"/>
    <w:rsid w:val="6B3B14D1"/>
    <w:rsid w:val="6B3E17E3"/>
    <w:rsid w:val="6B4B26C9"/>
    <w:rsid w:val="6B5C07AB"/>
    <w:rsid w:val="6B6274F6"/>
    <w:rsid w:val="6B753C3E"/>
    <w:rsid w:val="6B7B2229"/>
    <w:rsid w:val="6BE1078C"/>
    <w:rsid w:val="6C28124C"/>
    <w:rsid w:val="6C642F64"/>
    <w:rsid w:val="6C8E4F6C"/>
    <w:rsid w:val="6CA36C2E"/>
    <w:rsid w:val="6CC05E92"/>
    <w:rsid w:val="6CC61D04"/>
    <w:rsid w:val="6CDC291A"/>
    <w:rsid w:val="6D8E2BC7"/>
    <w:rsid w:val="6DF878E4"/>
    <w:rsid w:val="6E630391"/>
    <w:rsid w:val="6E9F57AA"/>
    <w:rsid w:val="6F922E55"/>
    <w:rsid w:val="6FAF49F7"/>
    <w:rsid w:val="707441BB"/>
    <w:rsid w:val="708414F7"/>
    <w:rsid w:val="708C1B31"/>
    <w:rsid w:val="708D0E66"/>
    <w:rsid w:val="70BA393E"/>
    <w:rsid w:val="70CC4BC0"/>
    <w:rsid w:val="70E4330E"/>
    <w:rsid w:val="70F33D7B"/>
    <w:rsid w:val="717F7444"/>
    <w:rsid w:val="71CC1C7C"/>
    <w:rsid w:val="71E120AB"/>
    <w:rsid w:val="71EB712A"/>
    <w:rsid w:val="72C27FA6"/>
    <w:rsid w:val="72CD1E30"/>
    <w:rsid w:val="72F27CCF"/>
    <w:rsid w:val="73032DB9"/>
    <w:rsid w:val="732037C2"/>
    <w:rsid w:val="73AA4BE9"/>
    <w:rsid w:val="74297C7C"/>
    <w:rsid w:val="74385DE5"/>
    <w:rsid w:val="74B41D21"/>
    <w:rsid w:val="759C7166"/>
    <w:rsid w:val="75A9470E"/>
    <w:rsid w:val="75C74684"/>
    <w:rsid w:val="75C857C9"/>
    <w:rsid w:val="760A6D2F"/>
    <w:rsid w:val="762429DE"/>
    <w:rsid w:val="7688070B"/>
    <w:rsid w:val="76B03EE3"/>
    <w:rsid w:val="76C36E32"/>
    <w:rsid w:val="76C50834"/>
    <w:rsid w:val="7710508A"/>
    <w:rsid w:val="77987BB5"/>
    <w:rsid w:val="77C11B4C"/>
    <w:rsid w:val="77E97F30"/>
    <w:rsid w:val="78AE5CDB"/>
    <w:rsid w:val="79C01ACA"/>
    <w:rsid w:val="79CF2250"/>
    <w:rsid w:val="79ED0498"/>
    <w:rsid w:val="7A926977"/>
    <w:rsid w:val="7AF53B5D"/>
    <w:rsid w:val="7AFA7350"/>
    <w:rsid w:val="7B12020A"/>
    <w:rsid w:val="7B1B76BB"/>
    <w:rsid w:val="7BAA2E76"/>
    <w:rsid w:val="7C124499"/>
    <w:rsid w:val="7C6D4C1D"/>
    <w:rsid w:val="7C9129FF"/>
    <w:rsid w:val="7CE71E7A"/>
    <w:rsid w:val="7D764148"/>
    <w:rsid w:val="7DDB1222"/>
    <w:rsid w:val="7E1B5A41"/>
    <w:rsid w:val="7E4E2AA2"/>
    <w:rsid w:val="7E572472"/>
    <w:rsid w:val="7E7734EE"/>
    <w:rsid w:val="7E9A6542"/>
    <w:rsid w:val="7EAA5C42"/>
    <w:rsid w:val="7ED31908"/>
    <w:rsid w:val="7EE11E36"/>
    <w:rsid w:val="7F152581"/>
    <w:rsid w:val="7F2E6E32"/>
    <w:rsid w:val="7FBE7F6C"/>
    <w:rsid w:val="7FED2366"/>
    <w:rsid w:val="7FF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65"/>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70"/>
    <w:qFormat/>
    <w:uiPriority w:val="0"/>
    <w:pPr>
      <w:keepNext/>
      <w:keepLines/>
      <w:spacing w:before="260" w:after="260" w:line="416" w:lineRule="auto"/>
      <w:outlineLvl w:val="2"/>
    </w:pPr>
    <w:rPr>
      <w:b/>
      <w:bCs/>
      <w:sz w:val="32"/>
      <w:szCs w:val="32"/>
    </w:rPr>
  </w:style>
  <w:style w:type="paragraph" w:styleId="8">
    <w:name w:val="heading 4"/>
    <w:basedOn w:val="1"/>
    <w:next w:val="1"/>
    <w:link w:val="67"/>
    <w:qFormat/>
    <w:uiPriority w:val="9"/>
    <w:pPr>
      <w:widowControl/>
      <w:spacing w:before="100" w:beforeAutospacing="1" w:after="100" w:afterAutospacing="1"/>
      <w:jc w:val="left"/>
      <w:outlineLvl w:val="3"/>
    </w:pPr>
    <w:rPr>
      <w:rFonts w:ascii="宋体" w:hAnsi="宋体"/>
      <w:b/>
      <w:bCs/>
      <w:kern w:val="0"/>
      <w:sz w:val="24"/>
    </w:rPr>
  </w:style>
  <w:style w:type="paragraph" w:styleId="9">
    <w:name w:val="heading 5"/>
    <w:basedOn w:val="1"/>
    <w:next w:val="1"/>
    <w:link w:val="62"/>
    <w:qFormat/>
    <w:uiPriority w:val="9"/>
    <w:pPr>
      <w:widowControl/>
      <w:spacing w:before="100" w:beforeAutospacing="1" w:after="100" w:afterAutospacing="1"/>
      <w:jc w:val="left"/>
      <w:outlineLvl w:val="4"/>
    </w:pPr>
    <w:rPr>
      <w:rFonts w:ascii="宋体" w:hAnsi="宋体"/>
      <w:b/>
      <w:bCs/>
      <w:kern w:val="0"/>
      <w:sz w:val="20"/>
      <w:szCs w:val="20"/>
    </w:rPr>
  </w:style>
  <w:style w:type="paragraph" w:styleId="10">
    <w:name w:val="heading 6"/>
    <w:basedOn w:val="1"/>
    <w:next w:val="1"/>
    <w:link w:val="73"/>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jc w:val="both"/>
    </w:pPr>
    <w:rPr>
      <w:b w:val="0"/>
      <w:bCs w:val="0"/>
      <w:sz w:val="21"/>
    </w:rPr>
  </w:style>
  <w:style w:type="paragraph" w:styleId="3">
    <w:name w:val="Body Text"/>
    <w:basedOn w:val="1"/>
    <w:next w:val="4"/>
    <w:qFormat/>
    <w:uiPriority w:val="0"/>
    <w:pPr>
      <w:spacing w:line="300" w:lineRule="auto"/>
      <w:jc w:val="center"/>
    </w:pPr>
    <w:rPr>
      <w:b/>
      <w:bCs/>
      <w:sz w:val="44"/>
    </w:rPr>
  </w:style>
  <w:style w:type="paragraph" w:customStyle="1" w:styleId="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1">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66"/>
    <w:qFormat/>
    <w:uiPriority w:val="0"/>
    <w:pPr>
      <w:jc w:val="left"/>
    </w:pPr>
  </w:style>
  <w:style w:type="paragraph" w:styleId="14">
    <w:name w:val="Body Text Indent"/>
    <w:basedOn w:val="1"/>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61"/>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71"/>
    <w:semiHidden/>
    <w:qFormat/>
    <w:uiPriority w:val="99"/>
    <w:rPr>
      <w:sz w:val="18"/>
      <w:szCs w:val="18"/>
    </w:rPr>
  </w:style>
  <w:style w:type="paragraph" w:styleId="20">
    <w:name w:val="footer"/>
    <w:basedOn w:val="1"/>
    <w:link w:val="68"/>
    <w:qFormat/>
    <w:uiPriority w:val="99"/>
    <w:pPr>
      <w:widowControl/>
      <w:tabs>
        <w:tab w:val="center" w:pos="4153"/>
        <w:tab w:val="right" w:pos="8306"/>
      </w:tabs>
      <w:snapToGrid w:val="0"/>
      <w:jc w:val="left"/>
    </w:pPr>
    <w:rPr>
      <w:rFonts w:ascii="宋体" w:hAnsi="宋体"/>
      <w:kern w:val="0"/>
      <w:sz w:val="18"/>
      <w:szCs w:val="18"/>
    </w:rPr>
  </w:style>
  <w:style w:type="paragraph" w:styleId="21">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63"/>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link w:val="74"/>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Char Char Char"/>
    <w:basedOn w:val="1"/>
    <w:qFormat/>
    <w:uiPriority w:val="0"/>
    <w:rPr>
      <w:rFonts w:ascii="Tahoma" w:hAnsi="Tahoma"/>
      <w:sz w:val="24"/>
      <w:szCs w:val="20"/>
    </w:rPr>
  </w:style>
  <w:style w:type="paragraph" w:customStyle="1" w:styleId="36">
    <w:name w:val="正文_3"/>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37">
    <w:name w:val="样式2"/>
    <w:basedOn w:val="1"/>
    <w:link w:val="69"/>
    <w:qFormat/>
    <w:uiPriority w:val="0"/>
    <w:pPr>
      <w:spacing w:line="600" w:lineRule="exact"/>
    </w:pPr>
    <w:rPr>
      <w:rFonts w:ascii="仿宋_GB2312" w:hAnsi="宋体" w:eastAsia="仿宋_GB2312"/>
      <w:b/>
      <w:sz w:val="32"/>
      <w:szCs w:val="32"/>
    </w:rPr>
  </w:style>
  <w:style w:type="paragraph" w:customStyle="1" w:styleId="38">
    <w:name w:val="环小四表内容"/>
    <w:basedOn w:val="1"/>
    <w:qFormat/>
    <w:uiPriority w:val="99"/>
    <w:pPr>
      <w:wordWrap w:val="0"/>
      <w:spacing w:line="240" w:lineRule="exact"/>
      <w:jc w:val="center"/>
    </w:pPr>
    <w:rPr>
      <w:rFonts w:hAnsi="宋体"/>
      <w:sz w:val="18"/>
      <w:szCs w:val="21"/>
    </w:rPr>
  </w:style>
  <w:style w:type="paragraph" w:customStyle="1" w:styleId="39">
    <w:name w:val="_Style 37"/>
    <w:basedOn w:val="1"/>
    <w:next w:val="1"/>
    <w:qFormat/>
    <w:uiPriority w:val="0"/>
    <w:pPr>
      <w:pBdr>
        <w:bottom w:val="single" w:color="auto" w:sz="6" w:space="1"/>
      </w:pBdr>
      <w:jc w:val="center"/>
    </w:pPr>
    <w:rPr>
      <w:rFonts w:ascii="Arial"/>
      <w:vanish/>
      <w:sz w:val="16"/>
    </w:rPr>
  </w:style>
  <w:style w:type="paragraph" w:customStyle="1" w:styleId="40">
    <w:name w:val="环小四1.1.1（三级）"/>
    <w:qFormat/>
    <w:uiPriority w:val="99"/>
    <w:pPr>
      <w:widowControl w:val="0"/>
      <w:spacing w:after="160" w:line="278" w:lineRule="auto"/>
      <w:outlineLvl w:val="2"/>
    </w:pPr>
    <w:rPr>
      <w:rFonts w:ascii="宋体" w:hAnsi="宋体" w:eastAsia="楷体_GB2312" w:cs="Times New Roman"/>
      <w:b/>
      <w:bCs/>
      <w:kern w:val="24"/>
      <w:sz w:val="24"/>
      <w:szCs w:val="24"/>
      <w:lang w:val="en-US" w:eastAsia="zh-CN" w:bidi="ar-SA"/>
    </w:rPr>
  </w:style>
  <w:style w:type="paragraph" w:customStyle="1" w:styleId="41">
    <w:name w:val="Normal_0"/>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42">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43">
    <w:name w:val="Char"/>
    <w:basedOn w:val="1"/>
    <w:qFormat/>
    <w:uiPriority w:val="0"/>
    <w:rPr>
      <w:rFonts w:ascii="Tahoma" w:hAnsi="Tahoma"/>
      <w:sz w:val="24"/>
      <w:szCs w:val="20"/>
    </w:rPr>
  </w:style>
  <w:style w:type="paragraph" w:customStyle="1" w:styleId="44">
    <w:name w:val="_Style 42"/>
    <w:basedOn w:val="1"/>
    <w:next w:val="1"/>
    <w:qFormat/>
    <w:uiPriority w:val="0"/>
    <w:pPr>
      <w:pBdr>
        <w:top w:val="single" w:color="auto" w:sz="6" w:space="1"/>
      </w:pBdr>
      <w:jc w:val="center"/>
    </w:pPr>
    <w:rPr>
      <w:rFonts w:ascii="Arial"/>
      <w:vanish/>
      <w:sz w:val="16"/>
    </w:rPr>
  </w:style>
  <w:style w:type="paragraph" w:customStyle="1" w:styleId="45">
    <w:name w:val="Char Char Char Char Char Char Char1 Char"/>
    <w:basedOn w:val="1"/>
    <w:qFormat/>
    <w:uiPriority w:val="0"/>
    <w:rPr>
      <w:rFonts w:ascii="Tahoma" w:hAnsi="Tahoma"/>
      <w:sz w:val="24"/>
      <w:szCs w:val="20"/>
    </w:rPr>
  </w:style>
  <w:style w:type="paragraph" w:customStyle="1" w:styleId="46">
    <w:name w:val="环小四1.1(三级)"/>
    <w:basedOn w:val="47"/>
    <w:qFormat/>
    <w:uiPriority w:val="99"/>
  </w:style>
  <w:style w:type="paragraph" w:customStyle="1" w:styleId="47">
    <w:name w:val="环小四1（二级）"/>
    <w:qFormat/>
    <w:uiPriority w:val="99"/>
    <w:pPr>
      <w:widowControl w:val="0"/>
      <w:spacing w:after="160" w:line="278" w:lineRule="auto"/>
      <w:outlineLvl w:val="1"/>
    </w:pPr>
    <w:rPr>
      <w:rFonts w:ascii="宋体" w:hAnsi="Times New Roman" w:eastAsia="宋体" w:cs="Times New Roman"/>
      <w:b/>
      <w:bCs/>
      <w:kern w:val="24"/>
      <w:sz w:val="24"/>
      <w:szCs w:val="36"/>
      <w:lang w:val="zh-CN" w:eastAsia="zh-CN" w:bidi="ar-SA"/>
    </w:rPr>
  </w:style>
  <w:style w:type="paragraph" w:customStyle="1" w:styleId="48">
    <w:name w:val="正文部分1"/>
    <w:basedOn w:val="1"/>
    <w:qFormat/>
    <w:uiPriority w:val="99"/>
    <w:pPr>
      <w:ind w:firstLine="200" w:firstLineChars="200"/>
    </w:pPr>
    <w:rPr>
      <w:rFonts w:ascii="宋体" w:hAnsi="宋体"/>
      <w:color w:val="000000"/>
      <w:sz w:val="24"/>
    </w:rPr>
  </w:style>
  <w:style w:type="paragraph" w:customStyle="1" w:styleId="49">
    <w:name w:val="正文_0_0"/>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50">
    <w:name w:val="正文_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51">
    <w:name w:val="环小四内容"/>
    <w:basedOn w:val="1"/>
    <w:qFormat/>
    <w:uiPriority w:val="99"/>
    <w:pPr>
      <w:ind w:firstLine="200" w:firstLineChars="200"/>
    </w:pPr>
    <w:rPr>
      <w:rFonts w:hAnsi="宋体"/>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54">
    <w:name w:val="正文_2_0"/>
    <w:qFormat/>
    <w:uiPriority w:val="99"/>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55">
    <w:name w:val="Char Char Char Char Char Char Char1 Char Char Char Char Char Char Char"/>
    <w:basedOn w:val="1"/>
    <w:qFormat/>
    <w:uiPriority w:val="0"/>
    <w:rPr>
      <w:rFonts w:ascii="Tahoma" w:hAnsi="Tahoma"/>
      <w:sz w:val="24"/>
      <w:szCs w:val="20"/>
    </w:rPr>
  </w:style>
  <w:style w:type="paragraph" w:customStyle="1" w:styleId="5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57">
    <w:name w:val="absatz1"/>
    <w:basedOn w:val="1"/>
    <w:qFormat/>
    <w:uiPriority w:val="0"/>
    <w:pPr>
      <w:widowControl/>
      <w:tabs>
        <w:tab w:val="left" w:pos="709"/>
      </w:tabs>
      <w:ind w:left="709" w:hanging="709"/>
    </w:pPr>
    <w:rPr>
      <w:kern w:val="0"/>
      <w:sz w:val="24"/>
      <w:szCs w:val="20"/>
    </w:rPr>
  </w:style>
  <w:style w:type="paragraph" w:customStyle="1" w:styleId="58">
    <w:name w:val="正文_1"/>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59">
    <w:name w:val="默认段落字体 Para Char Char Char Char Char Char Char Char Char1 Char Char Char Char Char Char Char Char"/>
    <w:basedOn w:val="12"/>
    <w:qFormat/>
    <w:uiPriority w:val="0"/>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61">
    <w:name w:val="纯文本 字符"/>
    <w:link w:val="16"/>
    <w:qFormat/>
    <w:uiPriority w:val="0"/>
    <w:rPr>
      <w:rFonts w:ascii="宋体" w:hAnsi="Courier New"/>
      <w:kern w:val="2"/>
      <w:sz w:val="21"/>
    </w:rPr>
  </w:style>
  <w:style w:type="character" w:customStyle="1" w:styleId="62">
    <w:name w:val="标题 5 字符"/>
    <w:link w:val="9"/>
    <w:qFormat/>
    <w:uiPriority w:val="9"/>
    <w:rPr>
      <w:rFonts w:ascii="宋体" w:hAnsi="宋体" w:cs="宋体"/>
      <w:b/>
      <w:bCs/>
    </w:rPr>
  </w:style>
  <w:style w:type="character" w:customStyle="1" w:styleId="63">
    <w:name w:val="正文文本 2 字符"/>
    <w:link w:val="24"/>
    <w:qFormat/>
    <w:locked/>
    <w:uiPriority w:val="99"/>
    <w:rPr>
      <w:rFonts w:ascii="宋体" w:hAnsi="宋体"/>
      <w:kern w:val="0"/>
      <w:sz w:val="20"/>
      <w:szCs w:val="21"/>
    </w:rPr>
  </w:style>
  <w:style w:type="character" w:customStyle="1" w:styleId="64">
    <w:name w:val="页眉 字符"/>
    <w:link w:val="21"/>
    <w:qFormat/>
    <w:uiPriority w:val="0"/>
    <w:rPr>
      <w:rFonts w:eastAsia="宋体"/>
      <w:kern w:val="2"/>
      <w:sz w:val="18"/>
      <w:szCs w:val="18"/>
      <w:lang w:val="en-US" w:eastAsia="zh-CN" w:bidi="ar-SA"/>
    </w:rPr>
  </w:style>
  <w:style w:type="character" w:customStyle="1" w:styleId="65">
    <w:name w:val="标题 2 字符"/>
    <w:link w:val="6"/>
    <w:qFormat/>
    <w:uiPriority w:val="9"/>
    <w:rPr>
      <w:rFonts w:ascii="Arial" w:hAnsi="Arial" w:eastAsia="黑体"/>
      <w:b/>
      <w:bCs/>
      <w:kern w:val="2"/>
      <w:sz w:val="32"/>
      <w:szCs w:val="32"/>
      <w:lang w:val="en-US" w:eastAsia="zh-CN" w:bidi="ar-SA"/>
    </w:rPr>
  </w:style>
  <w:style w:type="character" w:customStyle="1" w:styleId="66">
    <w:name w:val="批注文字 字符"/>
    <w:link w:val="13"/>
    <w:qFormat/>
    <w:locked/>
    <w:uiPriority w:val="0"/>
    <w:rPr>
      <w:kern w:val="2"/>
      <w:sz w:val="21"/>
      <w:szCs w:val="24"/>
    </w:rPr>
  </w:style>
  <w:style w:type="character" w:customStyle="1" w:styleId="67">
    <w:name w:val="标题 4 字符"/>
    <w:link w:val="8"/>
    <w:qFormat/>
    <w:uiPriority w:val="9"/>
    <w:rPr>
      <w:rFonts w:ascii="宋体" w:hAnsi="宋体" w:cs="宋体"/>
      <w:b/>
      <w:bCs/>
      <w:sz w:val="24"/>
      <w:szCs w:val="24"/>
    </w:rPr>
  </w:style>
  <w:style w:type="character" w:customStyle="1" w:styleId="68">
    <w:name w:val="页脚 字符"/>
    <w:link w:val="20"/>
    <w:qFormat/>
    <w:uiPriority w:val="99"/>
    <w:rPr>
      <w:rFonts w:ascii="宋体" w:hAnsi="宋体"/>
      <w:sz w:val="18"/>
      <w:szCs w:val="18"/>
    </w:rPr>
  </w:style>
  <w:style w:type="character" w:customStyle="1" w:styleId="69">
    <w:name w:val="样式2 Char Char"/>
    <w:link w:val="37"/>
    <w:qFormat/>
    <w:uiPriority w:val="0"/>
    <w:rPr>
      <w:rFonts w:ascii="仿宋_GB2312" w:hAnsi="宋体" w:eastAsia="仿宋_GB2312"/>
      <w:b/>
      <w:kern w:val="2"/>
      <w:sz w:val="32"/>
      <w:szCs w:val="32"/>
      <w:lang w:val="en-US" w:eastAsia="zh-CN" w:bidi="ar-SA"/>
    </w:rPr>
  </w:style>
  <w:style w:type="character" w:customStyle="1" w:styleId="70">
    <w:name w:val="标题 3 字符"/>
    <w:link w:val="7"/>
    <w:qFormat/>
    <w:uiPriority w:val="0"/>
    <w:rPr>
      <w:b/>
      <w:bCs/>
      <w:kern w:val="2"/>
      <w:sz w:val="32"/>
      <w:szCs w:val="32"/>
    </w:rPr>
  </w:style>
  <w:style w:type="character" w:customStyle="1" w:styleId="71">
    <w:name w:val="批注框文本 字符"/>
    <w:link w:val="19"/>
    <w:semiHidden/>
    <w:qFormat/>
    <w:uiPriority w:val="99"/>
    <w:rPr>
      <w:kern w:val="2"/>
      <w:sz w:val="18"/>
      <w:szCs w:val="18"/>
    </w:rPr>
  </w:style>
  <w:style w:type="character" w:customStyle="1" w:styleId="72">
    <w:name w:val="标题 1 字符"/>
    <w:link w:val="5"/>
    <w:qFormat/>
    <w:uiPriority w:val="9"/>
    <w:rPr>
      <w:b/>
      <w:bCs/>
      <w:kern w:val="44"/>
      <w:sz w:val="44"/>
      <w:szCs w:val="44"/>
    </w:rPr>
  </w:style>
  <w:style w:type="character" w:customStyle="1" w:styleId="73">
    <w:name w:val="标题 6 字符"/>
    <w:link w:val="10"/>
    <w:qFormat/>
    <w:uiPriority w:val="9"/>
    <w:rPr>
      <w:rFonts w:ascii="宋体" w:hAnsi="宋体" w:cs="宋体"/>
      <w:b/>
      <w:bCs/>
      <w:sz w:val="15"/>
      <w:szCs w:val="15"/>
    </w:rPr>
  </w:style>
  <w:style w:type="character" w:customStyle="1" w:styleId="74">
    <w:name w:val="标题 字符"/>
    <w:basedOn w:val="27"/>
    <w:link w:val="26"/>
    <w:qFormat/>
    <w:uiPriority w:val="10"/>
    <w:rPr>
      <w:rFonts w:ascii="Arial" w:hAnsi="Arial"/>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28</Pages>
  <Words>5123</Words>
  <Characters>5431</Characters>
  <Lines>417</Lines>
  <Paragraphs>439</Paragraphs>
  <TotalTime>20</TotalTime>
  <ScaleCrop>false</ScaleCrop>
  <LinksUpToDate>false</LinksUpToDate>
  <CharactersWithSpaces>10115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412054</cp:lastModifiedBy>
  <cp:lastPrinted>2018-04-10T06:59:00Z</cp:lastPrinted>
  <dcterms:modified xsi:type="dcterms:W3CDTF">2025-06-03T02:52:21Z</dcterms:modified>
  <dc:title>单一来源采购邀请函</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FE8065BE096F43509218976F283727DB</vt:lpwstr>
  </property>
</Properties>
</file>