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48"/>
          <w:szCs w:val="44"/>
          <w:highlight w:val="none"/>
        </w:rPr>
      </w:pPr>
    </w:p>
    <w:p>
      <w:pPr>
        <w:keepNext w:val="0"/>
        <w:keepLines w:val="0"/>
        <w:pageBreakBefore w:val="0"/>
        <w:kinsoku/>
        <w:overflowPunct/>
        <w:topLinePunct w:val="0"/>
        <w:bidi w:val="0"/>
        <w:jc w:val="center"/>
        <w:textAlignment w:val="auto"/>
        <w:outlineLvl w:val="9"/>
        <w:rPr>
          <w:rFonts w:hint="eastAsia" w:ascii="方正小标宋简体" w:hAnsi="方正小标宋简体" w:eastAsia="方正小标宋简体" w:cs="方正小标宋简体"/>
          <w:color w:val="000000"/>
          <w:sz w:val="56"/>
          <w:szCs w:val="52"/>
          <w:highlight w:val="none"/>
          <w:lang w:val="en-US" w:eastAsia="zh-CN"/>
        </w:rPr>
      </w:pPr>
      <w:bookmarkStart w:id="0" w:name="_Hlk27473685"/>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黑体" w:eastAsia="黑体"/>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lang w:eastAsia="zh-CN"/>
        </w:rPr>
      </w:pPr>
      <w:r>
        <w:rPr>
          <w:rFonts w:hint="eastAsia" w:ascii="方正小标宋简体" w:hAnsi="方正小标宋简体" w:eastAsia="方正小标宋简体" w:cs="方正小标宋简体"/>
          <w:bCs/>
          <w:color w:val="000000"/>
          <w:sz w:val="56"/>
          <w:szCs w:val="52"/>
          <w:highlight w:val="none"/>
        </w:rPr>
        <w:t>竞争性谈判</w:t>
      </w:r>
      <w:r>
        <w:rPr>
          <w:rFonts w:hint="eastAsia" w:ascii="方正小标宋简体" w:hAnsi="方正小标宋简体" w:eastAsia="方正小标宋简体" w:cs="方正小标宋简体"/>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w:t>
      </w:r>
      <w:r>
        <w:rPr>
          <w:rFonts w:hint="eastAsia" w:ascii="方正小标宋简体" w:hAnsi="方正小标宋简体" w:eastAsia="方正小标宋简体" w:cs="方正小标宋简体"/>
          <w:bCs/>
          <w:color w:val="000000"/>
          <w:sz w:val="56"/>
          <w:szCs w:val="52"/>
          <w:highlight w:val="none"/>
          <w:lang w:eastAsia="zh-CN"/>
        </w:rPr>
        <w:t>服务类</w:t>
      </w:r>
      <w:r>
        <w:rPr>
          <w:rFonts w:hint="eastAsia" w:ascii="方正小标宋简体" w:hAnsi="方正小标宋简体" w:eastAsia="方正小标宋简体" w:cs="方正小标宋简体"/>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eastAsia" w:ascii="仿宋_GB2312" w:eastAsia="仿宋_GB2312"/>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s="宋体"/>
          <w:color w:val="000000"/>
          <w:sz w:val="32"/>
          <w:szCs w:val="28"/>
          <w:highlight w:val="none"/>
          <w:lang w:val="en-US" w:eastAsia="zh-CN"/>
        </w:rPr>
      </w:pPr>
      <w:r>
        <w:rPr>
          <w:rFonts w:hint="eastAsia" w:ascii="宋体" w:hAnsi="宋体" w:eastAsia="宋体" w:cs="宋体"/>
          <w:color w:val="000000"/>
          <w:sz w:val="32"/>
          <w:szCs w:val="28"/>
          <w:highlight w:val="none"/>
          <w:lang w:eastAsia="zh-CN"/>
        </w:rPr>
        <w:t>文件编号：</w:t>
      </w:r>
      <w:r>
        <w:rPr>
          <w:rFonts w:hint="eastAsia" w:ascii="宋体" w:hAnsi="宋体" w:eastAsia="宋体" w:cs="宋体"/>
          <w:color w:val="000000"/>
          <w:sz w:val="32"/>
          <w:szCs w:val="28"/>
          <w:highlight w:val="none"/>
          <w:lang w:val="en-US" w:eastAsia="zh-CN"/>
        </w:rPr>
        <w:t>SACSC-TP-S-20250</w:t>
      </w:r>
      <w:r>
        <w:rPr>
          <w:rFonts w:hint="eastAsia" w:ascii="宋体" w:hAnsi="宋体" w:cs="宋体"/>
          <w:color w:val="000000"/>
          <w:sz w:val="32"/>
          <w:szCs w:val="28"/>
          <w:highlight w:val="none"/>
          <w:lang w:val="en-US" w:eastAsia="zh-CN"/>
        </w:rPr>
        <w:t>25</w:t>
      </w: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eastAsia="宋体" w:cs="宋体"/>
          <w:color w:val="000000"/>
          <w:sz w:val="32"/>
          <w:szCs w:val="28"/>
          <w:highlight w:val="none"/>
        </w:rPr>
      </w:pPr>
      <w:r>
        <w:rPr>
          <w:rFonts w:hint="eastAsia" w:ascii="宋体" w:hAnsi="宋体" w:eastAsia="宋体" w:cs="宋体"/>
          <w:color w:val="000000"/>
          <w:sz w:val="32"/>
          <w:szCs w:val="28"/>
          <w:highlight w:val="none"/>
        </w:rPr>
        <w:t>项目名称：</w:t>
      </w:r>
      <w:r>
        <w:rPr>
          <w:rFonts w:hint="eastAsia" w:ascii="宋体" w:hAnsi="宋体" w:cs="宋体"/>
          <w:color w:val="000000"/>
          <w:sz w:val="32"/>
          <w:szCs w:val="28"/>
          <w:highlight w:val="none"/>
          <w:lang w:val="en-US" w:eastAsia="zh-CN"/>
        </w:rPr>
        <w:t>昆明库房租赁与服务</w:t>
      </w: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承办部门</w:t>
      </w:r>
      <w:r>
        <w:rPr>
          <w:rFonts w:hint="eastAsia" w:ascii="宋体" w:hAnsi="宋体"/>
          <w:color w:val="000000"/>
          <w:sz w:val="32"/>
          <w:szCs w:val="28"/>
          <w:highlight w:val="none"/>
        </w:rPr>
        <w:t>：</w:t>
      </w:r>
      <w:r>
        <w:rPr>
          <w:rFonts w:hint="eastAsia" w:ascii="宋体" w:hAnsi="宋体"/>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仿宋_GB2312" w:eastAsia="仿宋_GB2312"/>
          <w:color w:val="000000"/>
          <w:sz w:val="32"/>
          <w:szCs w:val="28"/>
          <w:highlight w:val="none"/>
        </w:rPr>
      </w:pPr>
      <w:r>
        <w:rPr>
          <w:rFonts w:hint="eastAsia" w:ascii="宋体" w:hAnsi="宋体"/>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2025</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7</w:t>
      </w:r>
      <w:r>
        <w:rPr>
          <w:rFonts w:hint="eastAsia" w:ascii="宋体" w:hAnsi="宋体"/>
          <w:color w:val="000000"/>
          <w:sz w:val="32"/>
          <w:szCs w:val="28"/>
          <w:highlight w:val="none"/>
        </w:rPr>
        <w:t>月</w:t>
      </w:r>
      <w:r>
        <w:rPr>
          <w:rFonts w:hint="eastAsia" w:ascii="宋体" w:hAnsi="宋体"/>
          <w:color w:val="000000"/>
          <w:sz w:val="32"/>
          <w:szCs w:val="28"/>
          <w:highlight w:val="none"/>
          <w:lang w:val="en-US" w:eastAsia="zh-CN"/>
        </w:rPr>
        <w:t>2</w:t>
      </w:r>
      <w:r>
        <w:rPr>
          <w:rFonts w:hint="eastAsia" w:ascii="宋体" w:hAnsi="宋体"/>
          <w:color w:val="000000"/>
          <w:sz w:val="32"/>
          <w:szCs w:val="28"/>
          <w:highlight w:val="none"/>
        </w:rPr>
        <w:t>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sz w:val="36"/>
          <w:szCs w:val="28"/>
          <w:highlight w:val="none"/>
        </w:rPr>
      </w:pPr>
      <w:r>
        <w:rPr>
          <w:rFonts w:hint="eastAsia" w:ascii="宋体" w:hAnsi="宋体"/>
          <w:color w:val="000000"/>
          <w:sz w:val="32"/>
          <w:szCs w:val="28"/>
          <w:highlight w:val="none"/>
        </w:rPr>
        <w:br w:type="page"/>
      </w:r>
      <w:bookmarkEnd w:id="0"/>
      <w:r>
        <w:rPr>
          <w:rFonts w:hint="eastAsia" w:ascii="黑体" w:hAnsi="黑体" w:eastAsia="黑体" w:cs="黑体"/>
          <w:b/>
          <w:bCs/>
          <w:color w:val="000000"/>
          <w:sz w:val="36"/>
          <w:szCs w:val="28"/>
          <w:highlight w:val="none"/>
        </w:rPr>
        <w:t>目   录</w:t>
      </w:r>
    </w:p>
    <w:p>
      <w:pPr>
        <w:keepNext w:val="0"/>
        <w:keepLines w:val="0"/>
        <w:pageBreakBefore w:val="0"/>
        <w:kinsoku/>
        <w:overflowPunct/>
        <w:topLinePunct w:val="0"/>
        <w:bidi w:val="0"/>
        <w:spacing w:line="360" w:lineRule="auto"/>
        <w:ind w:firstLine="1232" w:firstLineChars="385"/>
        <w:textAlignment w:val="auto"/>
        <w:outlineLvl w:val="9"/>
        <w:rPr>
          <w:rFonts w:hint="eastAsia"/>
          <w:color w:val="000000"/>
          <w:sz w:val="32"/>
          <w:szCs w:val="36"/>
          <w:highlight w:val="none"/>
        </w:rPr>
      </w:pP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bookmarkStart w:id="1" w:name="_Toc16676_WPSOffice_Type1"/>
      <w:r>
        <w:rPr>
          <w:rFonts w:eastAsia="宋体"/>
          <w:b w:val="0"/>
          <w:bCs w:val="0"/>
          <w:sz w:val="24"/>
          <w:highlight w:val="none"/>
        </w:rPr>
        <w:fldChar w:fldCharType="begin"/>
      </w:r>
      <w:r>
        <w:rPr>
          <w:rFonts w:eastAsia="宋体"/>
          <w:b w:val="0"/>
          <w:bCs w:val="0"/>
          <w:sz w:val="24"/>
          <w:highlight w:val="none"/>
        </w:rPr>
        <w:instrText xml:space="preserve"> HYPERLINK \l _Toc10946_WPSOffice_Level1 </w:instrText>
      </w:r>
      <w:r>
        <w:rPr>
          <w:rFonts w:eastAsia="宋体"/>
          <w:b w:val="0"/>
          <w:bCs w:val="0"/>
          <w:sz w:val="24"/>
          <w:highlight w:val="none"/>
        </w:rPr>
        <w:fldChar w:fldCharType="separate"/>
      </w:r>
      <w:r>
        <w:rPr>
          <w:rFonts w:hint="eastAsia" w:eastAsia="宋体"/>
          <w:b w:val="0"/>
          <w:bCs w:val="0"/>
          <w:sz w:val="24"/>
          <w:highlight w:val="none"/>
        </w:rPr>
        <w:t>第一章  竞争性谈判邀请</w:t>
      </w:r>
      <w:r>
        <w:rPr>
          <w:rFonts w:hint="eastAsia" w:eastAsia="宋体"/>
          <w:b w:val="0"/>
          <w:bCs w:val="0"/>
          <w:sz w:val="24"/>
          <w:highlight w:val="none"/>
          <w:lang w:eastAsia="zh-CN"/>
        </w:rPr>
        <w:t>书</w:t>
      </w:r>
      <w:r>
        <w:rPr>
          <w:rFonts w:eastAsia="宋体"/>
          <w:b w:val="0"/>
          <w:bCs w:val="0"/>
          <w:sz w:val="24"/>
          <w:highlight w:val="none"/>
        </w:rPr>
        <w:tab/>
      </w:r>
      <w:r>
        <w:rPr>
          <w:rFonts w:hint="eastAsia"/>
          <w:b w:val="0"/>
          <w:bCs w:val="0"/>
          <w:sz w:val="24"/>
          <w:highlight w:val="none"/>
          <w:lang w:val="en-US" w:eastAsia="zh-CN"/>
        </w:rPr>
        <w:t>3</w:t>
      </w:r>
      <w:r>
        <w:rPr>
          <w:rFonts w:eastAsia="宋体"/>
          <w:b w:val="0"/>
          <w:bCs w:val="0"/>
          <w:sz w:val="24"/>
          <w:highlight w:val="none"/>
        </w:rPr>
        <w:fldChar w:fldCharType="end"/>
      </w: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_Toc15799_WPSOffice_Level1 </w:instrText>
      </w:r>
      <w:r>
        <w:rPr>
          <w:rFonts w:eastAsia="宋体"/>
          <w:b w:val="0"/>
          <w:bCs w:val="0"/>
          <w:sz w:val="24"/>
          <w:highlight w:val="none"/>
        </w:rPr>
        <w:fldChar w:fldCharType="separate"/>
      </w:r>
      <w:r>
        <w:rPr>
          <w:rFonts w:hint="eastAsia" w:eastAsia="宋体"/>
          <w:b w:val="0"/>
          <w:bCs w:val="0"/>
          <w:sz w:val="24"/>
          <w:highlight w:val="none"/>
        </w:rPr>
        <w:t>第二章  响应单位须知</w:t>
      </w:r>
      <w:r>
        <w:rPr>
          <w:rFonts w:eastAsia="宋体"/>
          <w:b w:val="0"/>
          <w:bCs w:val="0"/>
          <w:sz w:val="24"/>
          <w:highlight w:val="none"/>
        </w:rPr>
        <w:tab/>
      </w:r>
      <w:r>
        <w:rPr>
          <w:rFonts w:hint="eastAsia"/>
          <w:b w:val="0"/>
          <w:bCs w:val="0"/>
          <w:sz w:val="24"/>
          <w:highlight w:val="none"/>
          <w:lang w:val="en-US" w:eastAsia="zh-CN"/>
        </w:rPr>
        <w:t>6</w:t>
      </w:r>
      <w:r>
        <w:rPr>
          <w:rFonts w:eastAsia="宋体"/>
          <w:b w:val="0"/>
          <w:bCs w:val="0"/>
          <w:sz w:val="24"/>
          <w:highlight w:val="none"/>
        </w:rPr>
        <w:fldChar w:fldCharType="end"/>
      </w: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_Toc31820_WPSOffice_Level1 </w:instrText>
      </w:r>
      <w:r>
        <w:rPr>
          <w:rFonts w:eastAsia="宋体"/>
          <w:b w:val="0"/>
          <w:bCs w:val="0"/>
          <w:sz w:val="24"/>
          <w:highlight w:val="none"/>
        </w:rPr>
        <w:fldChar w:fldCharType="separate"/>
      </w:r>
      <w:r>
        <w:rPr>
          <w:rFonts w:hint="eastAsia" w:eastAsia="宋体"/>
          <w:b w:val="0"/>
          <w:bCs w:val="0"/>
          <w:sz w:val="24"/>
          <w:highlight w:val="none"/>
        </w:rPr>
        <w:t>第三章  评审办法</w:t>
      </w:r>
      <w:r>
        <w:rPr>
          <w:rFonts w:eastAsia="宋体"/>
          <w:b w:val="0"/>
          <w:bCs w:val="0"/>
          <w:sz w:val="24"/>
          <w:highlight w:val="none"/>
        </w:rPr>
        <w:tab/>
      </w:r>
      <w:r>
        <w:rPr>
          <w:rFonts w:hint="eastAsia"/>
          <w:b w:val="0"/>
          <w:bCs w:val="0"/>
          <w:sz w:val="24"/>
          <w:highlight w:val="none"/>
          <w:lang w:val="en-US" w:eastAsia="zh-CN"/>
        </w:rPr>
        <w:t>8</w:t>
      </w:r>
      <w:r>
        <w:rPr>
          <w:rFonts w:eastAsia="宋体"/>
          <w:b w:val="0"/>
          <w:bCs w:val="0"/>
          <w:sz w:val="24"/>
          <w:highlight w:val="none"/>
        </w:rPr>
        <w:fldChar w:fldCharType="end"/>
      </w: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b w:val="0"/>
          <w:bCs w:val="0"/>
          <w:sz w:val="24"/>
          <w:highlight w:val="none"/>
          <w:lang w:val="en-US" w:eastAsia="zh-CN"/>
        </w:rPr>
      </w:pPr>
      <w:r>
        <w:rPr>
          <w:rFonts w:eastAsia="宋体"/>
          <w:b w:val="0"/>
          <w:bCs w:val="0"/>
          <w:sz w:val="24"/>
          <w:highlight w:val="none"/>
        </w:rPr>
        <w:fldChar w:fldCharType="begin"/>
      </w:r>
      <w:r>
        <w:rPr>
          <w:rFonts w:eastAsia="宋体"/>
          <w:b w:val="0"/>
          <w:bCs w:val="0"/>
          <w:sz w:val="24"/>
          <w:highlight w:val="none"/>
        </w:rPr>
        <w:instrText xml:space="preserve"> HYPERLINK \l _Toc742_WPSOffice_Level1 </w:instrText>
      </w:r>
      <w:r>
        <w:rPr>
          <w:rFonts w:eastAsia="宋体"/>
          <w:b w:val="0"/>
          <w:bCs w:val="0"/>
          <w:sz w:val="24"/>
          <w:highlight w:val="none"/>
        </w:rPr>
        <w:fldChar w:fldCharType="separate"/>
      </w:r>
      <w:r>
        <w:rPr>
          <w:rFonts w:hint="eastAsia" w:eastAsia="宋体"/>
          <w:b w:val="0"/>
          <w:bCs w:val="0"/>
          <w:sz w:val="24"/>
          <w:highlight w:val="none"/>
        </w:rPr>
        <w:t>第四章  商务要求</w:t>
      </w:r>
      <w:r>
        <w:rPr>
          <w:rFonts w:eastAsia="宋体"/>
          <w:b w:val="0"/>
          <w:bCs w:val="0"/>
          <w:sz w:val="24"/>
          <w:highlight w:val="none"/>
        </w:rPr>
        <w:tab/>
      </w:r>
      <w:r>
        <w:rPr>
          <w:rFonts w:hint="eastAsia"/>
          <w:b w:val="0"/>
          <w:bCs w:val="0"/>
          <w:sz w:val="24"/>
          <w:highlight w:val="none"/>
          <w:lang w:val="en-US" w:eastAsia="zh-CN"/>
        </w:rPr>
        <w:t>1</w:t>
      </w:r>
      <w:r>
        <w:rPr>
          <w:rFonts w:eastAsia="宋体"/>
          <w:b w:val="0"/>
          <w:bCs w:val="0"/>
          <w:sz w:val="24"/>
          <w:highlight w:val="none"/>
        </w:rPr>
        <w:fldChar w:fldCharType="end"/>
      </w:r>
      <w:r>
        <w:rPr>
          <w:rFonts w:hint="eastAsia"/>
          <w:b w:val="0"/>
          <w:bCs w:val="0"/>
          <w:sz w:val="24"/>
          <w:highlight w:val="none"/>
          <w:lang w:val="en-US" w:eastAsia="zh-CN"/>
        </w:rPr>
        <w:t>1</w:t>
      </w: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_Toc28157_WPSOffice_Level1 </w:instrText>
      </w:r>
      <w:r>
        <w:rPr>
          <w:rFonts w:eastAsia="宋体"/>
          <w:b w:val="0"/>
          <w:bCs w:val="0"/>
          <w:sz w:val="24"/>
          <w:highlight w:val="none"/>
        </w:rPr>
        <w:fldChar w:fldCharType="separate"/>
      </w:r>
      <w:r>
        <w:rPr>
          <w:rFonts w:hint="eastAsia" w:eastAsia="宋体"/>
          <w:b w:val="0"/>
          <w:bCs w:val="0"/>
          <w:sz w:val="24"/>
          <w:highlight w:val="none"/>
        </w:rPr>
        <w:t>第五章  服务要求</w:t>
      </w:r>
      <w:r>
        <w:rPr>
          <w:rFonts w:eastAsia="宋体"/>
          <w:b w:val="0"/>
          <w:bCs w:val="0"/>
          <w:sz w:val="24"/>
          <w:highlight w:val="none"/>
        </w:rPr>
        <w:tab/>
      </w:r>
      <w:bookmarkStart w:id="2" w:name="_Toc28157_WPSOffice_Level1Page"/>
      <w:r>
        <w:rPr>
          <w:rFonts w:eastAsia="宋体"/>
          <w:b w:val="0"/>
          <w:bCs w:val="0"/>
          <w:sz w:val="24"/>
          <w:highlight w:val="none"/>
        </w:rPr>
        <w:t>15</w:t>
      </w:r>
      <w:bookmarkEnd w:id="2"/>
      <w:r>
        <w:rPr>
          <w:rFonts w:eastAsia="宋体"/>
          <w:b w:val="0"/>
          <w:bCs w:val="0"/>
          <w:sz w:val="24"/>
          <w:highlight w:val="none"/>
        </w:rPr>
        <w:fldChar w:fldCharType="end"/>
      </w: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b w:val="0"/>
          <w:bCs w:val="0"/>
          <w:sz w:val="24"/>
          <w:highlight w:val="none"/>
        </w:rPr>
      </w:pPr>
      <w:r>
        <w:rPr>
          <w:rFonts w:eastAsia="宋体"/>
          <w:b w:val="0"/>
          <w:bCs w:val="0"/>
          <w:sz w:val="24"/>
          <w:highlight w:val="none"/>
        </w:rPr>
        <w:fldChar w:fldCharType="begin"/>
      </w:r>
      <w:r>
        <w:rPr>
          <w:rFonts w:eastAsia="宋体"/>
          <w:b w:val="0"/>
          <w:bCs w:val="0"/>
          <w:sz w:val="24"/>
          <w:highlight w:val="none"/>
        </w:rPr>
        <w:instrText xml:space="preserve"> HYPERLINK \l _Toc7733_WPSOffice_Level1 </w:instrText>
      </w:r>
      <w:r>
        <w:rPr>
          <w:rFonts w:eastAsia="宋体"/>
          <w:b w:val="0"/>
          <w:bCs w:val="0"/>
          <w:sz w:val="24"/>
          <w:highlight w:val="none"/>
        </w:rPr>
        <w:fldChar w:fldCharType="separate"/>
      </w:r>
      <w:r>
        <w:rPr>
          <w:rFonts w:hint="eastAsia" w:eastAsia="宋体"/>
          <w:b w:val="0"/>
          <w:bCs w:val="0"/>
          <w:sz w:val="24"/>
          <w:highlight w:val="none"/>
        </w:rPr>
        <w:t>第六章  附件</w:t>
      </w:r>
      <w:r>
        <w:rPr>
          <w:rFonts w:eastAsia="宋体"/>
          <w:b w:val="0"/>
          <w:bCs w:val="0"/>
          <w:sz w:val="24"/>
          <w:highlight w:val="none"/>
        </w:rPr>
        <w:tab/>
      </w:r>
      <w:bookmarkStart w:id="3" w:name="_Toc7733_WPSOffice_Level1Page"/>
      <w:r>
        <w:rPr>
          <w:rFonts w:eastAsia="宋体"/>
          <w:b w:val="0"/>
          <w:bCs w:val="0"/>
          <w:sz w:val="24"/>
          <w:highlight w:val="none"/>
        </w:rPr>
        <w:t>1</w:t>
      </w:r>
      <w:bookmarkEnd w:id="3"/>
      <w:r>
        <w:rPr>
          <w:rFonts w:hint="eastAsia"/>
          <w:b w:val="0"/>
          <w:bCs w:val="0"/>
          <w:sz w:val="24"/>
          <w:highlight w:val="none"/>
          <w:lang w:val="en-US" w:eastAsia="zh-CN"/>
        </w:rPr>
        <w:t>6</w:t>
      </w:r>
      <w:r>
        <w:rPr>
          <w:rFonts w:eastAsia="宋体"/>
          <w:b w:val="0"/>
          <w:bCs w:val="0"/>
          <w:sz w:val="24"/>
          <w:highlight w:val="none"/>
        </w:rPr>
        <w:fldChar w:fldCharType="end"/>
      </w:r>
      <w:bookmarkEnd w:id="1"/>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eastAsia="宋体"/>
          <w:sz w:val="24"/>
          <w:highlight w:val="none"/>
        </w:rPr>
      </w:pPr>
    </w:p>
    <w:p>
      <w:pPr>
        <w:pStyle w:val="53"/>
        <w:keepNext w:val="0"/>
        <w:keepLines w:val="0"/>
        <w:pageBreakBefore w:val="0"/>
        <w:widowControl/>
        <w:tabs>
          <w:tab w:val="right" w:leader="dot" w:pos="9026"/>
        </w:tabs>
        <w:kinsoku/>
        <w:wordWrap/>
        <w:overflowPunct/>
        <w:topLinePunct w:val="0"/>
        <w:autoSpaceDE/>
        <w:autoSpaceDN/>
        <w:bidi w:val="0"/>
        <w:adjustRightInd/>
        <w:snapToGrid/>
        <w:spacing w:line="360" w:lineRule="auto"/>
        <w:textAlignment w:val="auto"/>
        <w:rPr>
          <w:rFonts w:hint="eastAsia" w:eastAsia="宋体"/>
          <w:sz w:val="24"/>
          <w:highlight w:val="none"/>
        </w:rPr>
        <w:sectPr>
          <w:footerReference r:id="rId3" w:type="default"/>
          <w:type w:val="continuous"/>
          <w:pgSz w:w="11906" w:h="16838"/>
          <w:pgMar w:top="1803" w:right="1440" w:bottom="1803" w:left="1440" w:header="851" w:footer="992" w:gutter="0"/>
          <w:cols w:space="720" w:num="1"/>
          <w:rtlGutter w:val="0"/>
          <w:docGrid w:linePitch="315" w:charSpace="0"/>
        </w:sectPr>
      </w:pPr>
    </w:p>
    <w:p>
      <w:pPr>
        <w:keepNext w:val="0"/>
        <w:keepLines w:val="0"/>
        <w:pageBreakBefore w:val="0"/>
        <w:widowControl/>
        <w:kinsoku/>
        <w:wordWrap/>
        <w:overflowPunct/>
        <w:topLinePunct w:val="0"/>
        <w:autoSpaceDE/>
        <w:autoSpaceDN/>
        <w:bidi w:val="0"/>
        <w:adjustRightInd/>
        <w:snapToGrid w:val="0"/>
        <w:spacing w:line="400" w:lineRule="atLeast"/>
        <w:ind w:left="28" w:leftChars="0" w:hanging="28" w:firstLineChars="0"/>
        <w:jc w:val="center"/>
        <w:textAlignment w:val="auto"/>
        <w:outlineLvl w:val="0"/>
        <w:rPr>
          <w:rFonts w:hint="default" w:ascii="方正小标宋简体" w:hAnsi="方正小标宋简体" w:eastAsia="方正小标宋简体" w:cs="方正小标宋简体"/>
          <w:b/>
          <w:bCs/>
          <w:color w:val="000000"/>
          <w:sz w:val="36"/>
          <w:highlight w:val="none"/>
          <w:lang w:val="en-US" w:eastAsia="zh-CN"/>
        </w:rPr>
      </w:pPr>
      <w:bookmarkStart w:id="4" w:name="_Toc10946_WPSOffice_Level1"/>
      <w:bookmarkStart w:id="5" w:name="_Hlk13586256"/>
      <w:bookmarkStart w:id="6" w:name="_Hlk39648029"/>
      <w:r>
        <w:rPr>
          <w:rFonts w:hint="eastAsia" w:ascii="方正小标宋简体" w:hAnsi="方正小标宋简体" w:eastAsia="方正小标宋简体" w:cs="方正小标宋简体"/>
          <w:b/>
          <w:bCs/>
          <w:color w:val="000000"/>
          <w:sz w:val="36"/>
          <w:highlight w:val="none"/>
          <w:lang w:eastAsia="zh-CN"/>
        </w:rPr>
        <w:t>第</w:t>
      </w:r>
      <w:r>
        <w:rPr>
          <w:rFonts w:hint="eastAsia" w:ascii="方正小标宋简体" w:hAnsi="方正小标宋简体" w:eastAsia="方正小标宋简体" w:cs="方正小标宋简体"/>
          <w:b/>
          <w:bCs/>
          <w:color w:val="000000"/>
          <w:sz w:val="36"/>
          <w:highlight w:val="none"/>
          <w:lang w:val="en-US" w:eastAsia="zh-CN"/>
        </w:rPr>
        <w:t xml:space="preserve">一章  </w:t>
      </w:r>
      <w:r>
        <w:rPr>
          <w:rFonts w:hint="eastAsia" w:ascii="方正小标宋简体" w:hAnsi="方正小标宋简体" w:eastAsia="方正小标宋简体" w:cs="方正小标宋简体"/>
          <w:b/>
          <w:bCs/>
          <w:color w:val="000000"/>
          <w:sz w:val="36"/>
          <w:highlight w:val="none"/>
        </w:rPr>
        <w:t>竞争性谈判</w:t>
      </w:r>
      <w:r>
        <w:rPr>
          <w:rFonts w:hint="eastAsia" w:ascii="方正小标宋简体" w:hAnsi="方正小标宋简体" w:eastAsia="方正小标宋简体" w:cs="方正小标宋简体"/>
          <w:b/>
          <w:bCs/>
          <w:color w:val="000000"/>
          <w:sz w:val="36"/>
          <w:highlight w:val="none"/>
          <w:lang w:eastAsia="zh-CN"/>
        </w:rPr>
        <w:t>邀请</w:t>
      </w:r>
      <w:bookmarkEnd w:id="4"/>
      <w:r>
        <w:rPr>
          <w:rFonts w:hint="eastAsia" w:ascii="方正小标宋简体" w:hAnsi="方正小标宋简体" w:eastAsia="方正小标宋简体" w:cs="方正小标宋简体"/>
          <w:b/>
          <w:bCs/>
          <w:color w:val="000000"/>
          <w:sz w:val="36"/>
          <w:highlight w:val="none"/>
          <w:lang w:eastAsia="zh-CN"/>
        </w:rPr>
        <w:t>书</w:t>
      </w:r>
    </w:p>
    <w:p>
      <w:pPr>
        <w:keepNext w:val="0"/>
        <w:keepLines w:val="0"/>
        <w:pageBreakBefore w:val="0"/>
        <w:kinsoku/>
        <w:overflowPunct/>
        <w:topLinePunct w:val="0"/>
        <w:autoSpaceDE w:val="0"/>
        <w:autoSpaceDN w:val="0"/>
        <w:bidi w:val="0"/>
        <w:adjustRightInd w:val="0"/>
        <w:spacing w:line="360" w:lineRule="auto"/>
        <w:ind w:left="0" w:leftChars="0" w:firstLine="560" w:firstLineChars="200"/>
        <w:jc w:val="left"/>
        <w:textAlignment w:val="auto"/>
        <w:outlineLvl w:val="9"/>
        <w:rPr>
          <w:rFonts w:hint="eastAsia" w:ascii="宋体" w:hAnsi="宋体" w:eastAsia="宋体"/>
          <w:sz w:val="28"/>
          <w:szCs w:val="28"/>
          <w:highlight w:val="none"/>
          <w:lang w:eastAsia="zh-CN"/>
        </w:rPr>
      </w:pPr>
      <w:r>
        <w:rPr>
          <w:rFonts w:hint="eastAsia" w:ascii="宋体" w:hAnsi="宋体"/>
          <w:sz w:val="28"/>
          <w:szCs w:val="28"/>
          <w:highlight w:val="none"/>
          <w:lang w:eastAsia="zh-CN"/>
        </w:rPr>
        <w:t>上海飞机客户服务有限公司（下简称“客服公司”或“采购方”）诚邀贵单位参加</w:t>
      </w:r>
      <w:r>
        <w:rPr>
          <w:rFonts w:hint="eastAsia" w:ascii="宋体" w:hAnsi="宋体"/>
          <w:sz w:val="28"/>
          <w:szCs w:val="28"/>
          <w:highlight w:val="none"/>
          <w:u w:val="single"/>
          <w:lang w:val="en-US" w:eastAsia="zh-CN"/>
        </w:rPr>
        <w:t>昆明库房租赁与服务</w:t>
      </w:r>
      <w:r>
        <w:rPr>
          <w:rFonts w:hint="eastAsia" w:ascii="宋体" w:hAnsi="宋体"/>
          <w:sz w:val="28"/>
          <w:szCs w:val="28"/>
          <w:highlight w:val="none"/>
          <w:lang w:eastAsia="zh-CN"/>
        </w:rPr>
        <w:t>项目的采购，项目具体情况如下：</w:t>
      </w:r>
    </w:p>
    <w:tbl>
      <w:tblPr>
        <w:tblStyle w:val="34"/>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1.</w:t>
            </w:r>
            <w:r>
              <w:rPr>
                <w:rFonts w:hint="eastAsia" w:ascii="宋体" w:hAnsi="宋体"/>
                <w:b/>
                <w:bCs/>
                <w:sz w:val="24"/>
                <w:highlight w:val="none"/>
                <w:vertAlign w:val="baseline"/>
                <w:lang w:eastAsia="zh-CN"/>
              </w:rPr>
              <w:t>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服务名称</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昆明库房租赁与服务项目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服务概况</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default" w:ascii="宋体" w:hAnsi="宋体" w:eastAsia="宋体"/>
                <w:sz w:val="24"/>
                <w:highlight w:val="none"/>
                <w:vertAlign w:val="baseline"/>
                <w:lang w:val="en-US" w:eastAsia="zh-CN"/>
              </w:rPr>
            </w:pPr>
            <w:r>
              <w:rPr>
                <w:rFonts w:hint="eastAsia"/>
                <w:highlight w:val="none"/>
                <w:lang w:val="en-US" w:eastAsia="zh-CN"/>
              </w:rPr>
              <w:t>供应商须提供距离昆明长水国际机场直线距离约10公里</w:t>
            </w:r>
            <w:r>
              <w:rPr>
                <w:rFonts w:hint="eastAsia"/>
                <w:lang w:val="en-US" w:eastAsia="zh-CN"/>
              </w:rPr>
              <w:t>范围以内</w:t>
            </w:r>
            <w:r>
              <w:rPr>
                <w:rFonts w:hint="eastAsia"/>
                <w:highlight w:val="none"/>
                <w:lang w:val="en-US" w:eastAsia="zh-CN"/>
              </w:rPr>
              <w:t>的可租赁面积为150-200平方米的用于存放客服公司航材/GSE的库房。</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服务期限</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224" w:leftChars="104" w:hanging="6" w:firstLineChars="0"/>
              <w:jc w:val="left"/>
              <w:textAlignment w:val="auto"/>
              <w:outlineLvl w:val="9"/>
              <w:rPr>
                <w:rFonts w:hint="eastAsia" w:ascii="宋体" w:hAnsi="宋体" w:eastAsia="仿宋"/>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月前</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lang w:eastAsia="zh-CN"/>
              </w:rPr>
              <w:t>☑其他</w:t>
            </w:r>
            <w:r>
              <w:rPr>
                <w:rFonts w:hint="eastAsia" w:ascii="宋体" w:hAnsi="宋体"/>
                <w:sz w:val="24"/>
                <w:highlight w:val="none"/>
                <w:lang w:val="en-US" w:eastAsia="zh-CN"/>
              </w:rPr>
              <w:t>:</w:t>
            </w:r>
            <w:r>
              <w:rPr>
                <w:rFonts w:hint="eastAsia" w:ascii="宋体" w:hAnsi="宋体"/>
                <w:sz w:val="24"/>
                <w:highlight w:val="none"/>
                <w:u w:val="single"/>
                <w:lang w:val="en-US" w:eastAsia="zh-CN"/>
              </w:rPr>
              <w:t>合同签订并完成验收之日起两年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224" w:leftChars="104" w:hanging="6" w:firstLineChars="0"/>
              <w:jc w:val="center"/>
              <w:textAlignment w:val="auto"/>
              <w:outlineLvl w:val="9"/>
              <w:rPr>
                <w:rFonts w:hint="eastAsia" w:ascii="宋体" w:hAnsi="宋体" w:eastAsia="宋体"/>
                <w:b/>
                <w:bCs/>
                <w:sz w:val="24"/>
                <w:highlight w:val="none"/>
                <w:lang w:eastAsia="zh-CN"/>
              </w:rPr>
            </w:pPr>
            <w:r>
              <w:rPr>
                <w:rFonts w:hint="eastAsia" w:ascii="宋体" w:hAnsi="宋体"/>
                <w:b/>
                <w:bCs/>
                <w:sz w:val="24"/>
                <w:highlight w:val="none"/>
                <w:lang w:val="en-US" w:eastAsia="zh-CN"/>
              </w:rPr>
              <w:t>2.</w:t>
            </w:r>
            <w:r>
              <w:rPr>
                <w:rFonts w:hint="eastAsia" w:ascii="宋体" w:hAnsi="宋体"/>
                <w:b/>
                <w:bCs/>
                <w:sz w:val="24"/>
                <w:highlight w:val="none"/>
                <w:lang w:eastAsia="zh-CN"/>
              </w:rPr>
              <w:t>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电话询问</w:t>
            </w:r>
          </w:p>
          <w:p>
            <w:pPr>
              <w:autoSpaceDE w:val="0"/>
              <w:autoSpaceDN w:val="0"/>
              <w:adjustRightInd w:val="0"/>
              <w:spacing w:line="360" w:lineRule="auto"/>
              <w:ind w:left="224" w:leftChars="104" w:hanging="6"/>
              <w:jc w:val="left"/>
              <w:rPr>
                <w:rFonts w:hint="eastAsia" w:ascii="宋体" w:hAnsi="宋体" w:eastAsia="仿宋"/>
                <w:sz w:val="24"/>
                <w:highlight w:val="none"/>
              </w:rPr>
            </w:pPr>
            <w:r>
              <w:rPr>
                <w:rFonts w:hint="eastAsia" w:ascii="宋体" w:hAnsi="宋体"/>
                <w:sz w:val="24"/>
                <w:highlight w:val="none"/>
              </w:rPr>
              <w:t>□ 纸质文件询问</w:t>
            </w:r>
          </w:p>
          <w:p>
            <w:pPr>
              <w:autoSpaceDE w:val="0"/>
              <w:autoSpaceDN w:val="0"/>
              <w:adjustRightInd w:val="0"/>
              <w:spacing w:line="360" w:lineRule="auto"/>
              <w:ind w:left="224" w:leftChars="104" w:hanging="6"/>
              <w:jc w:val="left"/>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 xml:space="preserve"> 邮件询问</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rPr>
                <w:rFonts w:hint="eastAsia" w:ascii="宋体" w:hAnsi="宋体"/>
                <w:sz w:val="24"/>
                <w:highlight w:val="none"/>
                <w:lang w:val="en-US"/>
              </w:rPr>
            </w:pPr>
            <w:r>
              <w:rPr>
                <w:rFonts w:hint="eastAsia" w:ascii="宋体" w:hAnsi="宋体"/>
                <w:sz w:val="24"/>
                <w:highlight w:val="none"/>
                <w:lang w:eastAsia="zh-CN"/>
              </w:rPr>
              <w:t>□</w:t>
            </w:r>
            <w:r>
              <w:rPr>
                <w:rFonts w:hint="eastAsia" w:ascii="宋体" w:hAnsi="宋体"/>
                <w:sz w:val="24"/>
                <w:highlight w:val="none"/>
              </w:rPr>
              <w:t xml:space="preserve"> 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询问联系方式</w:t>
            </w:r>
          </w:p>
        </w:tc>
        <w:tc>
          <w:tcPr>
            <w:tcW w:w="6843"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 xml:space="preserve">联系人：  </w:t>
            </w:r>
            <w:r>
              <w:rPr>
                <w:rFonts w:hint="eastAsia" w:ascii="宋体" w:hAnsi="宋体" w:cs="Times New Roman"/>
                <w:sz w:val="24"/>
                <w:highlight w:val="none"/>
                <w:u w:val="single"/>
                <w:lang w:val="en-US" w:eastAsia="zh-CN"/>
              </w:rPr>
              <w:t>孔万里</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u w:val="single"/>
                <w:lang w:val="en-US" w:eastAsia="zh-CN"/>
              </w:rPr>
            </w:pPr>
            <w:r>
              <w:rPr>
                <w:rFonts w:hint="eastAsia" w:ascii="宋体" w:hAnsi="宋体" w:cs="Times New Roman"/>
                <w:sz w:val="24"/>
                <w:highlight w:val="none"/>
                <w:lang w:val="en-US" w:eastAsia="zh-CN"/>
              </w:rPr>
              <w:t>联系电话：</w:t>
            </w:r>
            <w:r>
              <w:rPr>
                <w:rFonts w:hint="eastAsia" w:ascii="宋体" w:hAnsi="宋体" w:cs="Times New Roman"/>
                <w:sz w:val="24"/>
                <w:highlight w:val="none"/>
                <w:u w:val="single"/>
                <w:lang w:val="en-US" w:eastAsia="zh-CN"/>
              </w:rPr>
              <w:t>18019196725</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159" w:afterLines="50" w:afterAutospacing="0" w:line="240" w:lineRule="auto"/>
              <w:ind w:left="224" w:leftChars="104" w:right="0" w:hanging="6" w:firstLineChars="0"/>
              <w:jc w:val="left"/>
              <w:textAlignment w:val="auto"/>
              <w:outlineLvl w:val="9"/>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联系地址：</w:t>
            </w:r>
            <w:r>
              <w:rPr>
                <w:rFonts w:hint="eastAsia" w:ascii="宋体" w:hAnsi="宋体" w:cs="Times New Roman"/>
                <w:sz w:val="24"/>
                <w:highlight w:val="none"/>
                <w:u w:val="single"/>
                <w:lang w:val="en-US" w:eastAsia="zh-CN"/>
              </w:rPr>
              <w:t>上海闵行江川东路100号</w:t>
            </w:r>
          </w:p>
          <w:p>
            <w:pPr>
              <w:autoSpaceDE w:val="0"/>
              <w:autoSpaceDN w:val="0"/>
              <w:adjustRightInd w:val="0"/>
              <w:ind w:left="224" w:leftChars="104" w:hanging="6" w:firstLineChars="0"/>
              <w:jc w:val="left"/>
              <w:rPr>
                <w:rFonts w:hint="eastAsia" w:ascii="宋体" w:hAnsi="宋体"/>
                <w:sz w:val="24"/>
                <w:highlight w:val="none"/>
                <w:lang w:val="en-US" w:eastAsia="zh-CN"/>
              </w:rPr>
            </w:pPr>
            <w:r>
              <w:rPr>
                <w:rFonts w:hint="eastAsia" w:ascii="宋体" w:hAnsi="宋体" w:cs="Times New Roman"/>
                <w:sz w:val="24"/>
                <w:highlight w:val="none"/>
                <w:lang w:val="en-US" w:eastAsia="zh-CN"/>
              </w:rPr>
              <w:t>联系邮箱：</w:t>
            </w:r>
            <w:r>
              <w:rPr>
                <w:rFonts w:hint="eastAsia" w:ascii="宋体" w:hAnsi="宋体" w:cs="Times New Roman"/>
                <w:sz w:val="24"/>
                <w:highlight w:val="none"/>
                <w:u w:val="single"/>
                <w:lang w:val="en-US" w:eastAsia="zh-CN"/>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b/>
                <w:bCs/>
                <w:sz w:val="24"/>
                <w:highlight w:val="none"/>
                <w:vertAlign w:val="baseline"/>
                <w:lang w:eastAsia="zh-CN"/>
              </w:rPr>
            </w:pPr>
            <w:r>
              <w:rPr>
                <w:rFonts w:hint="eastAsia" w:ascii="宋体" w:hAnsi="宋体"/>
                <w:b/>
                <w:bCs/>
                <w:sz w:val="24"/>
                <w:highlight w:val="none"/>
                <w:vertAlign w:val="baseline"/>
                <w:lang w:val="en-US" w:eastAsia="zh-CN"/>
              </w:rPr>
              <w:t>3.</w:t>
            </w:r>
            <w:r>
              <w:rPr>
                <w:rFonts w:hint="eastAsia" w:ascii="宋体" w:hAnsi="宋体"/>
                <w:b/>
                <w:bCs/>
                <w:sz w:val="24"/>
                <w:highlight w:val="none"/>
                <w:vertAlign w:val="baseline"/>
                <w:lang w:eastAsia="zh-CN"/>
              </w:rPr>
              <w:t>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eastAsia="zh-CN"/>
              </w:rPr>
              <w:t>响应文件提交方式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val="en-US" w:eastAsia="zh-CN"/>
              </w:rPr>
              <w:t>联系人：</w:t>
            </w:r>
            <w:r>
              <w:rPr>
                <w:rFonts w:hint="eastAsia" w:ascii="宋体" w:hAnsi="宋体" w:cs="Times New Roman"/>
                <w:sz w:val="24"/>
                <w:highlight w:val="none"/>
                <w:u w:val="single"/>
                <w:lang w:val="en-US" w:eastAsia="zh-CN"/>
              </w:rPr>
              <w:t>孔万里</w:t>
            </w:r>
            <w:r>
              <w:rPr>
                <w:rFonts w:hint="eastAsia" w:ascii="宋体" w:hAnsi="宋体"/>
                <w:sz w:val="24"/>
                <w:highlight w:val="none"/>
                <w:lang w:val="en-US" w:eastAsia="zh-CN"/>
              </w:rPr>
              <w:t xml:space="preserve">     联系方式：</w:t>
            </w:r>
            <w:r>
              <w:rPr>
                <w:rFonts w:hint="eastAsia" w:ascii="宋体" w:hAnsi="宋体" w:cs="Times New Roman"/>
                <w:sz w:val="24"/>
                <w:highlight w:val="none"/>
                <w:u w:val="single"/>
                <w:lang w:val="en-US" w:eastAsia="zh-CN"/>
              </w:rPr>
              <w:t>18019196725</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☑纸质邮寄</w:t>
            </w:r>
            <w:r>
              <w:rPr>
                <w:rFonts w:hint="eastAsia" w:ascii="宋体" w:hAnsi="宋体"/>
                <w:sz w:val="24"/>
                <w:highlight w:val="none"/>
                <w:lang w:val="en-US" w:eastAsia="zh-CN"/>
              </w:rPr>
              <w:t>/</w:t>
            </w:r>
            <w:r>
              <w:rPr>
                <w:rFonts w:hint="eastAsia" w:ascii="宋体" w:hAnsi="宋体"/>
                <w:sz w:val="24"/>
                <w:highlight w:val="none"/>
                <w:lang w:eastAsia="zh-CN"/>
              </w:rPr>
              <w:t>现场送达至</w:t>
            </w:r>
            <w:r>
              <w:rPr>
                <w:rFonts w:hint="eastAsia" w:ascii="宋体" w:hAnsi="宋体"/>
                <w:sz w:val="24"/>
                <w:highlight w:val="none"/>
                <w:lang w:val="en-US" w:eastAsia="zh-CN"/>
              </w:rPr>
              <w:t>：</w:t>
            </w:r>
            <w:r>
              <w:rPr>
                <w:rFonts w:hint="eastAsia" w:ascii="宋体" w:hAnsi="宋体"/>
                <w:sz w:val="24"/>
                <w:highlight w:val="none"/>
                <w:u w:val="single"/>
                <w:lang w:val="en-US" w:eastAsia="zh-CN"/>
              </w:rPr>
              <w:t>上海市闵行区江川东路100号 采购与供应商管理部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default" w:ascii="宋体" w:hAnsi="宋体"/>
                <w:sz w:val="24"/>
                <w:highlight w:val="none"/>
                <w:lang w:val="en-US" w:eastAsia="zh-CN"/>
              </w:rPr>
            </w:pPr>
            <w:r>
              <w:rPr>
                <w:rFonts w:hint="eastAsia" w:ascii="宋体" w:hAnsi="宋体"/>
                <w:sz w:val="24"/>
                <w:highlight w:val="none"/>
                <w:lang w:eastAsia="zh-CN"/>
              </w:rPr>
              <w:t>☑电子提交</w:t>
            </w:r>
            <w:r>
              <w:rPr>
                <w:rFonts w:hint="eastAsia" w:ascii="宋体" w:hAnsi="宋体"/>
                <w:sz w:val="24"/>
                <w:highlight w:val="none"/>
                <w:lang w:val="en-US" w:eastAsia="zh-CN"/>
              </w:rPr>
              <w:t>至：</w:t>
            </w:r>
            <w:r>
              <w:rPr>
                <w:rFonts w:hint="eastAsia" w:ascii="宋体" w:hAnsi="宋体"/>
                <w:sz w:val="24"/>
                <w:highlight w:val="none"/>
                <w:u w:val="single"/>
                <w:lang w:val="en-US" w:eastAsia="zh-CN"/>
              </w:rPr>
              <w:t>同纸质文件一起封装递交（U盘或光盘）</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响应文件必须包含内容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Times New Roman" w:hAnsi="Times New Roman"/>
                <w:sz w:val="24"/>
                <w:highlight w:val="none"/>
              </w:rPr>
              <w:t>竞争性谈判响应声明</w:t>
            </w:r>
            <w:r>
              <w:rPr>
                <w:rFonts w:hint="eastAsia" w:ascii="Times New Roman" w:hAnsi="Times New Roman"/>
                <w:sz w:val="24"/>
                <w:highlight w:val="none"/>
                <w:lang w:val="en-US" w:eastAsia="zh-CN"/>
              </w:rPr>
              <w:t xml:space="preserve">   </w:t>
            </w:r>
            <w:r>
              <w:rPr>
                <w:rFonts w:hint="eastAsia" w:ascii="宋体" w:hAnsi="宋体"/>
                <w:sz w:val="24"/>
                <w:highlight w:val="none"/>
                <w:lang w:eastAsia="zh-CN"/>
              </w:rPr>
              <w:t>☑报价表</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☑商务要求响应表</w:t>
            </w:r>
            <w:r>
              <w:rPr>
                <w:rFonts w:hint="eastAsia" w:ascii="宋体" w:hAnsi="宋体"/>
                <w:sz w:val="24"/>
                <w:highlight w:val="none"/>
                <w:lang w:val="en-US" w:eastAsia="zh-CN"/>
              </w:rPr>
              <w:t xml:space="preserve">        </w:t>
            </w:r>
            <w:r>
              <w:rPr>
                <w:rFonts w:hint="eastAsia" w:ascii="宋体" w:hAnsi="宋体"/>
                <w:sz w:val="24"/>
                <w:highlight w:val="none"/>
                <w:lang w:eastAsia="zh-CN"/>
              </w:rPr>
              <w:t>☑技术要求响应表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☑法定代表人身份证复印件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☑法定代表人授权委托书（如有）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hint="eastAsia" w:ascii="宋体" w:hAnsi="宋体"/>
                <w:sz w:val="24"/>
                <w:highlight w:val="none"/>
              </w:rPr>
            </w:pPr>
            <w:r>
              <w:rPr>
                <w:rFonts w:hint="eastAsia" w:ascii="宋体" w:hAnsi="宋体"/>
                <w:sz w:val="24"/>
                <w:highlight w:val="none"/>
                <w:lang w:eastAsia="zh-CN"/>
              </w:rPr>
              <w:t>☑授权代表人身份证复印件</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249" w:firstLineChars="104"/>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☑廉洁协议</w:t>
            </w:r>
            <w:r>
              <w:rPr>
                <w:rFonts w:hint="eastAsia" w:ascii="宋体" w:hAnsi="宋体"/>
                <w:sz w:val="24"/>
                <w:highlight w:val="none"/>
                <w:lang w:val="en-US" w:eastAsia="zh-CN"/>
              </w:rPr>
              <w:t xml:space="preserve">     </w:t>
            </w: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响应文件盖章要求</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before="159" w:beforeLines="50" w:line="360" w:lineRule="auto"/>
              <w:jc w:val="both"/>
              <w:textAlignment w:val="auto"/>
              <w:outlineLvl w:val="9"/>
              <w:rPr>
                <w:rFonts w:hint="eastAsia" w:ascii="宋体" w:hAnsi="宋体"/>
                <w:b w:val="0"/>
                <w:bCs w:val="0"/>
                <w:sz w:val="24"/>
                <w:highlight w:val="none"/>
                <w:u w:val="none"/>
                <w:lang w:val="en-US" w:eastAsia="zh-CN"/>
              </w:rPr>
            </w:pPr>
            <w:r>
              <w:rPr>
                <w:rFonts w:hint="eastAsia" w:ascii="宋体" w:hAnsi="宋体"/>
                <w:b w:val="0"/>
                <w:bCs w:val="0"/>
                <w:sz w:val="24"/>
                <w:highlight w:val="none"/>
                <w:u w:val="none"/>
                <w:lang w:val="en-US" w:eastAsia="zh-CN"/>
              </w:rPr>
              <w:t>响应文件中的以下内容应加盖公章：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响应文件（骑缝章）</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营业执照</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财务报表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业绩证明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质量体系认证证书</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报价表</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分项报价表</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rPr>
              <w:t>竞争性谈判响应声明</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法定代表人声明</w:t>
            </w:r>
            <w:r>
              <w:rPr>
                <w:rFonts w:hint="eastAsia" w:ascii="宋体" w:hAnsi="宋体"/>
                <w:sz w:val="24"/>
                <w:highlight w:val="none"/>
                <w:lang w:val="en-US" w:eastAsia="zh-CN"/>
              </w:rPr>
              <w:t xml:space="preserve">    </w:t>
            </w: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法定代表人授权委托书</w:t>
            </w:r>
          </w:p>
          <w:p>
            <w:pPr>
              <w:keepNext w:val="0"/>
              <w:keepLines w:val="0"/>
              <w:pageBreakBefore w:val="0"/>
              <w:widowControl w:val="0"/>
              <w:kinsoku/>
              <w:wordWrap/>
              <w:overflowPunct/>
              <w:topLinePunct w:val="0"/>
              <w:autoSpaceDE w:val="0"/>
              <w:autoSpaceDN w:val="0"/>
              <w:bidi w:val="0"/>
              <w:adjustRightInd w:val="0"/>
              <w:snapToGrid/>
              <w:spacing w:line="240" w:lineRule="auto"/>
              <w:ind w:firstLine="240" w:firstLineChars="100"/>
              <w:jc w:val="left"/>
              <w:textAlignment w:val="auto"/>
              <w:outlineLvl w:val="9"/>
              <w:rPr>
                <w:rFonts w:hint="eastAsia" w:ascii="宋体" w:hAnsi="宋体"/>
                <w:b/>
                <w:bCs/>
                <w:sz w:val="24"/>
                <w:highlight w:val="none"/>
                <w:u w:val="none"/>
                <w:lang w:val="en-US" w:eastAsia="zh-CN"/>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截止时间</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rPr>
            </w:pPr>
            <w:r>
              <w:rPr>
                <w:rFonts w:hint="eastAsia" w:ascii="宋体" w:hAnsi="宋体"/>
                <w:b/>
                <w:bCs/>
                <w:sz w:val="24"/>
                <w:highlight w:val="none"/>
                <w:u w:val="none"/>
                <w:lang w:val="en-US" w:eastAsia="zh-CN"/>
              </w:rPr>
              <w:t>2025年7月10日16：00时前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3.4</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响应文件数量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Times New Roman" w:hAnsi="Times New Roman"/>
                <w:sz w:val="24"/>
                <w:highlight w:val="none"/>
              </w:rPr>
            </w:pPr>
            <w:r>
              <w:rPr>
                <w:rFonts w:hint="eastAsia" w:ascii="Times New Roman" w:hAnsi="Times New Roman"/>
                <w:sz w:val="24"/>
                <w:highlight w:val="none"/>
              </w:rPr>
              <w:t>需密封：纸质版 1 份，电子版（U盘或光盘）1 份</w:t>
            </w:r>
          </w:p>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Times New Roman" w:hAnsi="Times New Roman"/>
                <w:sz w:val="24"/>
                <w:highlight w:val="none"/>
                <w:u w:val="none"/>
                <w:lang w:val="en-US" w:eastAsia="zh-CN"/>
              </w:rPr>
            </w:pPr>
            <w:r>
              <w:rPr>
                <w:rFonts w:hint="eastAsia" w:ascii="Times New Roman" w:hAnsi="Times New Roman"/>
                <w:sz w:val="24"/>
                <w:highlight w:val="none"/>
              </w:rPr>
              <w:t>(备注：所有文件装订成1册，电子版文件集成1个盖章版PDF文件，授权代表请在文件中注明</w:t>
            </w:r>
            <w:r>
              <w:rPr>
                <w:rFonts w:hint="eastAsia"/>
                <w:sz w:val="24"/>
                <w:highlight w:val="none"/>
                <w:lang w:val="en-US" w:eastAsia="zh-CN"/>
              </w:rPr>
              <w:t>目录、</w:t>
            </w:r>
            <w:r>
              <w:rPr>
                <w:rFonts w:hint="eastAsia" w:ascii="Times New Roman" w:hAnsi="Times New Roman"/>
                <w:sz w:val="24"/>
                <w:highlight w:val="none"/>
              </w:rPr>
              <w:t>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3.5</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响应文件有效期</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49" w:firstLineChars="104"/>
              <w:jc w:val="center"/>
              <w:textAlignment w:val="auto"/>
              <w:outlineLvl w:val="9"/>
              <w:rPr>
                <w:rFonts w:hint="eastAsia" w:ascii="宋体" w:hAnsi="宋体"/>
                <w:sz w:val="24"/>
                <w:highlight w:val="none"/>
              </w:rPr>
            </w:pPr>
            <w:r>
              <w:rPr>
                <w:rFonts w:hint="eastAsia" w:ascii="宋体" w:hAnsi="宋体"/>
                <w:b w:val="0"/>
                <w:bCs w:val="0"/>
                <w:sz w:val="24"/>
                <w:highlight w:val="none"/>
                <w:u w:val="none"/>
                <w:lang w:val="en-US" w:eastAsia="zh-CN"/>
              </w:rPr>
              <w:t>自递交响应文件之日起</w:t>
            </w:r>
            <w:r>
              <w:rPr>
                <w:rFonts w:hint="eastAsia" w:ascii="宋体" w:hAnsi="宋体"/>
                <w:b w:val="0"/>
                <w:bCs w:val="0"/>
                <w:sz w:val="24"/>
                <w:highlight w:val="none"/>
                <w:u w:val="single"/>
                <w:lang w:val="en-US" w:eastAsia="zh-CN"/>
              </w:rPr>
              <w:t xml:space="preserve"> 90 </w:t>
            </w:r>
            <w:r>
              <w:rPr>
                <w:rFonts w:hint="eastAsia" w:ascii="宋体" w:hAnsi="宋体"/>
                <w:b w:val="0"/>
                <w:bCs w:val="0"/>
                <w:sz w:val="24"/>
                <w:highlight w:val="none"/>
                <w:u w:val="none"/>
                <w:lang w:val="en-US" w:eastAsia="zh-CN"/>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keepNext w:val="0"/>
              <w:keepLines w:val="0"/>
              <w:pageBreakBefore w:val="0"/>
              <w:widowControl w:val="0"/>
              <w:kinsoku/>
              <w:wordWrap/>
              <w:overflowPunct/>
              <w:topLinePunct w:val="0"/>
              <w:autoSpaceDE w:val="0"/>
              <w:autoSpaceDN w:val="0"/>
              <w:bidi w:val="0"/>
              <w:adjustRightInd w:val="0"/>
              <w:spacing w:line="240" w:lineRule="auto"/>
              <w:ind w:left="0" w:leftChars="0" w:firstLine="251" w:firstLineChars="104"/>
              <w:jc w:val="center"/>
              <w:textAlignment w:val="auto"/>
              <w:outlineLvl w:val="9"/>
              <w:rPr>
                <w:rFonts w:hint="eastAsia" w:ascii="宋体" w:hAnsi="宋体"/>
                <w:b w:val="0"/>
                <w:bCs w:val="0"/>
                <w:sz w:val="24"/>
                <w:highlight w:val="none"/>
                <w:u w:val="none"/>
                <w:lang w:val="en-US" w:eastAsia="zh-CN"/>
              </w:rPr>
            </w:pPr>
            <w:r>
              <w:rPr>
                <w:rFonts w:hint="eastAsia" w:ascii="宋体" w:hAnsi="宋体"/>
                <w:b/>
                <w:bCs/>
                <w:sz w:val="24"/>
                <w:highlight w:val="none"/>
                <w:vertAlign w:val="baseline"/>
                <w:lang w:val="en-US" w:eastAsia="zh-CN"/>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报价不一致</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评判标准</w:t>
            </w:r>
          </w:p>
        </w:tc>
        <w:tc>
          <w:tcPr>
            <w:tcW w:w="684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leftChars="0"/>
              <w:jc w:val="left"/>
              <w:textAlignment w:val="auto"/>
              <w:outlineLvl w:val="9"/>
              <w:rPr>
                <w:rFonts w:hint="eastAsia" w:ascii="Times New Roman" w:hAnsi="Times New Roman" w:eastAsia="宋体"/>
                <w:sz w:val="24"/>
                <w:highlight w:val="none"/>
                <w:lang w:eastAsia="zh-CN"/>
              </w:rPr>
            </w:pPr>
            <w:r>
              <w:rPr>
                <w:rFonts w:ascii="Times New Roman" w:hAnsi="Times New Roman"/>
                <w:sz w:val="24"/>
                <w:highlight w:val="none"/>
              </w:rPr>
              <w:t>如</w:t>
            </w:r>
            <w:r>
              <w:rPr>
                <w:rFonts w:hint="eastAsia" w:ascii="Times New Roman" w:hAnsi="Times New Roman"/>
                <w:sz w:val="24"/>
                <w:highlight w:val="none"/>
                <w:lang w:eastAsia="zh-CN"/>
              </w:rPr>
              <w:t>响应</w:t>
            </w:r>
            <w:r>
              <w:rPr>
                <w:rFonts w:ascii="Times New Roman" w:hAnsi="Times New Roman"/>
                <w:sz w:val="24"/>
                <w:highlight w:val="none"/>
              </w:rPr>
              <w:t>文件中出现报价且前后不一致的</w:t>
            </w:r>
            <w:r>
              <w:rPr>
                <w:rFonts w:hint="eastAsia" w:ascii="Times New Roman" w:hAnsi="Times New Roman"/>
                <w:sz w:val="24"/>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以报价一览表总价（大写）为准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以分项价格表分项报价为准，修正总价</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以所有价格中最低者为准</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报价漏项</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如响应文件中分项报价漏项：</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sz w:val="24"/>
                <w:highlight w:val="none"/>
                <w:lang w:eastAsia="zh-CN"/>
              </w:rPr>
              <w:t>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lang w:eastAsia="zh-CN"/>
              </w:rPr>
              <w:t>以所有响应单位响应文件中同项最高价计入总价，漏项内容需免费提供</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firstLine="240" w:firstLineChars="100"/>
              <w:jc w:val="left"/>
              <w:textAlignment w:val="auto"/>
              <w:outlineLvl w:val="9"/>
              <w:rPr>
                <w:rFonts w:hint="eastAsia" w:ascii="宋体" w:hAnsi="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eastAsia="宋体" w:cs="宋体"/>
                <w:sz w:val="24"/>
                <w:highlight w:val="none"/>
                <w:vertAlign w:val="baseline"/>
                <w:lang w:val="en-US" w:eastAsia="zh-CN"/>
              </w:rPr>
              <w:t>4.3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非“*”号项条款不响应</w:t>
            </w:r>
          </w:p>
        </w:tc>
        <w:tc>
          <w:tcPr>
            <w:tcW w:w="6843"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left"/>
              <w:textAlignment w:val="auto"/>
              <w:outlineLvl w:val="9"/>
              <w:rPr>
                <w:rFonts w:hint="eastAsia" w:ascii="宋体" w:hAnsi="宋体"/>
                <w:sz w:val="24"/>
                <w:highlight w:val="none"/>
                <w:lang w:eastAsia="zh-CN"/>
              </w:rPr>
            </w:pPr>
            <w:r>
              <w:rPr>
                <w:rFonts w:hint="eastAsia" w:ascii="宋体" w:hAnsi="宋体"/>
                <w:sz w:val="24"/>
                <w:highlight w:val="none"/>
                <w:lang w:eastAsia="zh-CN"/>
              </w:rPr>
              <w:t>如响应文件中对</w:t>
            </w:r>
            <w:r>
              <w:rPr>
                <w:rFonts w:hint="eastAsia" w:ascii="宋体" w:hAnsi="宋体"/>
                <w:sz w:val="24"/>
                <w:highlight w:val="none"/>
                <w:vertAlign w:val="baseline"/>
                <w:lang w:val="en-US" w:eastAsia="zh-CN"/>
              </w:rPr>
              <w:t>非“*”号项条款不响应：</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highlight w:val="none"/>
              </w:rPr>
              <w:t>☑ 超过  3  条（含3条）不响应，废标</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highlight w:val="none"/>
              </w:rPr>
              <w:t>☑ 每不响应1条非“*”号项条款，评审价格上调5%（即1条不响应上调5%，2条不响应上调10%）</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其他：__________________________________</w:t>
            </w:r>
          </w:p>
        </w:tc>
      </w:tr>
    </w:tbl>
    <w:p>
      <w:pPr>
        <w:keepNext w:val="0"/>
        <w:keepLines w:val="0"/>
        <w:pageBreakBefore w:val="0"/>
        <w:kinsoku/>
        <w:overflowPunct/>
        <w:topLinePunct w:val="0"/>
        <w:autoSpaceDE w:val="0"/>
        <w:autoSpaceDN w:val="0"/>
        <w:bidi w:val="0"/>
        <w:adjustRightInd w:val="0"/>
        <w:spacing w:line="360" w:lineRule="auto"/>
        <w:ind w:firstLine="720" w:firstLineChars="300"/>
        <w:jc w:val="right"/>
        <w:textAlignment w:val="auto"/>
        <w:outlineLvl w:val="9"/>
        <w:rPr>
          <w:rFonts w:hint="eastAsia" w:ascii="宋体" w:hAnsi="宋体"/>
          <w:sz w:val="24"/>
          <w:highlight w:val="none"/>
        </w:rPr>
      </w:pPr>
      <w:bookmarkStart w:id="7" w:name="_Hlk27473954"/>
    </w:p>
    <w:bookmarkEnd w:id="5"/>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b/>
          <w:color w:val="000000"/>
          <w:sz w:val="40"/>
          <w:highlight w:val="none"/>
        </w:rPr>
        <w:br w:type="page"/>
      </w:r>
      <w:bookmarkEnd w:id="6"/>
      <w:bookmarkEnd w:id="7"/>
      <w:bookmarkStart w:id="8" w:name="_Toc15799_WPSOffice_Level1"/>
      <w:r>
        <w:rPr>
          <w:rFonts w:hint="eastAsia" w:ascii="方正小标宋简体" w:hAnsi="方正小标宋简体" w:eastAsia="方正小标宋简体" w:cs="方正小标宋简体"/>
          <w:b/>
          <w:bCs w:val="0"/>
          <w:color w:val="000000"/>
          <w:sz w:val="36"/>
          <w:szCs w:val="36"/>
          <w:highlight w:val="none"/>
          <w:lang w:eastAsia="zh-CN"/>
        </w:rPr>
        <w:t>第二</w:t>
      </w:r>
      <w:r>
        <w:rPr>
          <w:rFonts w:hint="eastAsia" w:ascii="方正小标宋简体" w:hAnsi="方正小标宋简体" w:eastAsia="方正小标宋简体" w:cs="方正小标宋简体"/>
          <w:b/>
          <w:bCs w:val="0"/>
          <w:color w:val="000000"/>
          <w:sz w:val="36"/>
          <w:szCs w:val="36"/>
          <w:highlight w:val="none"/>
          <w:lang w:val="en-US" w:eastAsia="zh-CN"/>
        </w:rPr>
        <w:t xml:space="preserve">章 </w:t>
      </w:r>
      <w:r>
        <w:rPr>
          <w:rFonts w:hint="eastAsia" w:ascii="方正小标宋简体" w:hAnsi="方正小标宋简体" w:eastAsia="方正小标宋简体" w:cs="方正小标宋简体"/>
          <w:b/>
          <w:bCs w:val="0"/>
          <w:color w:val="000000"/>
          <w:sz w:val="36"/>
          <w:szCs w:val="36"/>
          <w:highlight w:val="none"/>
          <w:lang w:eastAsia="zh-CN"/>
        </w:rPr>
        <w:t xml:space="preserve"> 响应单位须知</w:t>
      </w:r>
      <w:bookmarkEnd w:id="8"/>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lang w:eastAsia="zh-CN"/>
        </w:rPr>
        <w:t>响应</w:t>
      </w:r>
      <w:r>
        <w:rPr>
          <w:rFonts w:hint="eastAsia" w:ascii="黑体" w:hAnsi="黑体" w:eastAsia="黑体" w:cs="黑体"/>
          <w:b w:val="0"/>
          <w:bCs w:val="0"/>
          <w:sz w:val="28"/>
          <w:szCs w:val="28"/>
          <w:highlight w:val="none"/>
        </w:rPr>
        <w:t>注意事项：</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应承担所有与准备和参加谈判有关的费用。不论谈判的结果如何，</w:t>
      </w:r>
      <w:r>
        <w:rPr>
          <w:rFonts w:hint="eastAsia" w:ascii="Times New Roman" w:hAnsi="Times New Roman"/>
          <w:sz w:val="24"/>
          <w:highlight w:val="none"/>
          <w:lang w:eastAsia="zh-CN"/>
        </w:rPr>
        <w:t>客服</w:t>
      </w:r>
      <w:r>
        <w:rPr>
          <w:rFonts w:ascii="Times New Roman" w:hAnsi="Times New Roman"/>
          <w:sz w:val="24"/>
          <w:highlight w:val="none"/>
        </w:rPr>
        <w:t>公司均无义务和责任承担这些费用。</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提交的响应文件</w:t>
      </w:r>
      <w:r>
        <w:rPr>
          <w:rFonts w:hint="eastAsia" w:ascii="Times New Roman" w:hAnsi="Times New Roman"/>
          <w:sz w:val="24"/>
          <w:highlight w:val="none"/>
          <w:lang w:eastAsia="zh-CN"/>
        </w:rPr>
        <w:t>纸质</w:t>
      </w:r>
      <w:r>
        <w:rPr>
          <w:rFonts w:ascii="Times New Roman" w:hAnsi="Times New Roman"/>
          <w:sz w:val="24"/>
          <w:highlight w:val="none"/>
        </w:rPr>
        <w:t>版与电子版有差异，以</w:t>
      </w:r>
      <w:r>
        <w:rPr>
          <w:rFonts w:hint="eastAsia" w:ascii="Times New Roman" w:hAnsi="Times New Roman"/>
          <w:sz w:val="24"/>
          <w:highlight w:val="none"/>
          <w:lang w:eastAsia="zh-CN"/>
        </w:rPr>
        <w:t>纸质</w:t>
      </w:r>
      <w:r>
        <w:rPr>
          <w:rFonts w:ascii="Times New Roman" w:hAnsi="Times New Roman"/>
          <w:sz w:val="24"/>
          <w:highlight w:val="none"/>
        </w:rPr>
        <w:t>版为准。</w:t>
      </w:r>
    </w:p>
    <w:p>
      <w:pPr>
        <w:pStyle w:val="11"/>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sz w:val="24"/>
          <w:highlight w:val="none"/>
        </w:rPr>
      </w:pPr>
      <w:r>
        <w:rPr>
          <w:rFonts w:ascii="Times New Roman" w:hAnsi="Times New Roman"/>
          <w:sz w:val="24"/>
          <w:highlight w:val="none"/>
        </w:rPr>
        <w:t>本文件</w:t>
      </w:r>
      <w:r>
        <w:rPr>
          <w:rFonts w:hint="eastAsia" w:ascii="Times New Roman" w:hAnsi="Times New Roman"/>
          <w:sz w:val="24"/>
          <w:highlight w:val="none"/>
          <w:lang w:eastAsia="zh-CN"/>
        </w:rPr>
        <w:t>第四章及第五章</w:t>
      </w:r>
      <w:r>
        <w:rPr>
          <w:rFonts w:ascii="Times New Roman" w:hAnsi="Times New Roman"/>
          <w:sz w:val="24"/>
          <w:highlight w:val="none"/>
        </w:rPr>
        <w:t>中标注“*”号的均为关键</w:t>
      </w:r>
      <w:r>
        <w:rPr>
          <w:rFonts w:hint="eastAsia" w:ascii="Times New Roman" w:hAnsi="Times New Roman"/>
          <w:sz w:val="24"/>
          <w:highlight w:val="none"/>
          <w:lang w:eastAsia="zh-CN"/>
        </w:rPr>
        <w:t>商务要求</w:t>
      </w:r>
      <w:r>
        <w:rPr>
          <w:rFonts w:ascii="Times New Roman" w:hAnsi="Times New Roman"/>
          <w:sz w:val="24"/>
          <w:highlight w:val="none"/>
        </w:rPr>
        <w:t>或关键</w:t>
      </w:r>
      <w:r>
        <w:rPr>
          <w:rFonts w:hint="eastAsia" w:ascii="Times New Roman" w:hAnsi="Times New Roman"/>
          <w:sz w:val="24"/>
          <w:highlight w:val="none"/>
          <w:lang w:eastAsia="zh-CN"/>
        </w:rPr>
        <w:t>技术要求</w:t>
      </w:r>
      <w:r>
        <w:rPr>
          <w:rFonts w:ascii="Times New Roman" w:hAnsi="Times New Roman"/>
          <w:sz w:val="24"/>
          <w:highlight w:val="none"/>
        </w:rPr>
        <w:t>，对这些条款的偏离将导致响应文件被否决。</w:t>
      </w:r>
    </w:p>
    <w:p>
      <w:pPr>
        <w:keepNext w:val="0"/>
        <w:keepLines w:val="0"/>
        <w:pageBreakBefore w:val="0"/>
        <w:numPr>
          <w:ilvl w:val="0"/>
          <w:numId w:val="2"/>
        </w:numPr>
        <w:kinsoku/>
        <w:wordWrap/>
        <w:overflowPunct/>
        <w:topLinePunct w:val="0"/>
        <w:autoSpaceDE/>
        <w:autoSpaceDN/>
        <w:bidi w:val="0"/>
        <w:adjustRightInd/>
        <w:snapToGrid/>
        <w:spacing w:line="400" w:lineRule="exact"/>
        <w:ind w:left="400" w:leftChars="0" w:hanging="400" w:hangingChars="167"/>
        <w:textAlignment w:val="auto"/>
        <w:outlineLvl w:val="9"/>
        <w:rPr>
          <w:rFonts w:ascii="Times New Roman" w:hAnsi="Times New Roman"/>
          <w:highlight w:val="none"/>
        </w:rPr>
      </w:pPr>
      <w:r>
        <w:rPr>
          <w:rFonts w:ascii="Times New Roman" w:hAnsi="Times New Roman"/>
          <w:sz w:val="24"/>
          <w:highlight w:val="none"/>
        </w:rPr>
        <w:t>在</w:t>
      </w:r>
      <w:r>
        <w:rPr>
          <w:rFonts w:hint="eastAsia" w:ascii="Times New Roman" w:hAnsi="Times New Roman"/>
          <w:sz w:val="24"/>
          <w:highlight w:val="none"/>
          <w:lang w:eastAsia="zh-CN"/>
        </w:rPr>
        <w:t>响应文件</w:t>
      </w:r>
      <w:r>
        <w:rPr>
          <w:rFonts w:ascii="Times New Roman" w:hAnsi="Times New Roman"/>
          <w:sz w:val="24"/>
          <w:highlight w:val="none"/>
        </w:rPr>
        <w:t>递交截止前的任何时候，无论出于何种原因，</w:t>
      </w:r>
      <w:r>
        <w:rPr>
          <w:rFonts w:hint="eastAsia" w:ascii="Times New Roman" w:hAnsi="Times New Roman"/>
          <w:sz w:val="24"/>
          <w:highlight w:val="none"/>
          <w:lang w:eastAsia="zh-CN"/>
        </w:rPr>
        <w:t>客服</w:t>
      </w:r>
      <w:r>
        <w:rPr>
          <w:rFonts w:ascii="Times New Roman" w:hAnsi="Times New Roman"/>
          <w:sz w:val="24"/>
          <w:highlight w:val="none"/>
        </w:rPr>
        <w:t>公司可对</w:t>
      </w:r>
      <w:r>
        <w:rPr>
          <w:rFonts w:hint="eastAsia" w:ascii="Times New Roman" w:hAnsi="Times New Roman"/>
          <w:sz w:val="24"/>
          <w:highlight w:val="none"/>
          <w:lang w:eastAsia="zh-CN"/>
        </w:rPr>
        <w:t>竞争性谈判文件内容</w:t>
      </w:r>
      <w:r>
        <w:rPr>
          <w:rFonts w:ascii="Times New Roman" w:hAnsi="Times New Roman"/>
          <w:sz w:val="24"/>
          <w:highlight w:val="none"/>
        </w:rPr>
        <w:t>进行修改。</w:t>
      </w:r>
      <w:r>
        <w:rPr>
          <w:rFonts w:hint="eastAsia" w:ascii="Times New Roman" w:hAnsi="Times New Roman"/>
          <w:sz w:val="24"/>
          <w:highlight w:val="none"/>
          <w:lang w:eastAsia="zh-CN"/>
        </w:rPr>
        <w:t>文件的修改</w:t>
      </w:r>
      <w:r>
        <w:rPr>
          <w:rFonts w:ascii="Times New Roman" w:hAnsi="Times New Roman"/>
          <w:sz w:val="24"/>
          <w:highlight w:val="none"/>
        </w:rPr>
        <w:t>将以</w:t>
      </w:r>
      <w:r>
        <w:rPr>
          <w:rFonts w:hint="eastAsia" w:ascii="Times New Roman" w:hAnsi="Times New Roman"/>
          <w:b/>
          <w:bCs/>
          <w:i w:val="0"/>
          <w:iCs w:val="0"/>
          <w:sz w:val="24"/>
          <w:highlight w:val="none"/>
          <w:lang w:eastAsia="zh-CN"/>
        </w:rPr>
        <w:t>书面或邮件的形式</w:t>
      </w:r>
      <w:r>
        <w:rPr>
          <w:rFonts w:ascii="Times New Roman" w:hAnsi="Times New Roman"/>
          <w:sz w:val="24"/>
          <w:highlight w:val="none"/>
        </w:rPr>
        <w:t>通知所有受邀请</w:t>
      </w:r>
      <w:r>
        <w:rPr>
          <w:rFonts w:hint="eastAsia" w:ascii="Times New Roman" w:hAnsi="Times New Roman"/>
          <w:sz w:val="24"/>
          <w:highlight w:val="none"/>
          <w:lang w:eastAsia="zh-CN"/>
        </w:rPr>
        <w:t>单位</w:t>
      </w:r>
      <w:r>
        <w:rPr>
          <w:rFonts w:ascii="Times New Roman" w:hAnsi="Times New Roman"/>
          <w:sz w:val="24"/>
          <w:highlight w:val="none"/>
        </w:rPr>
        <w:t>，</w:t>
      </w:r>
      <w:r>
        <w:rPr>
          <w:rFonts w:hint="eastAsia" w:ascii="Times New Roman" w:hAnsi="Times New Roman"/>
          <w:sz w:val="24"/>
          <w:highlight w:val="none"/>
          <w:lang w:eastAsia="zh-CN"/>
        </w:rPr>
        <w:t>修改文件与竞争性谈判文件具有同等效力</w:t>
      </w:r>
      <w:r>
        <w:rPr>
          <w:rFonts w:ascii="Times New Roman" w:hAnsi="Times New Roman"/>
          <w:sz w:val="24"/>
          <w:highlight w:val="none"/>
        </w:rPr>
        <w:t>。</w:t>
      </w:r>
      <w:r>
        <w:rPr>
          <w:rFonts w:hint="eastAsia" w:ascii="Times New Roman" w:hAnsi="Times New Roman"/>
          <w:sz w:val="24"/>
          <w:highlight w:val="none"/>
          <w:lang w:eastAsia="zh-CN"/>
        </w:rPr>
        <w:t>受邀人在收到通知后，应回复确认收到（形式不限）。在修改文件后，客服公司可自行决定是否延长响应文件提交截止时间。</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响应单位代表为单位法定代表人，应出具法定代表人声明及法定代表人身份证复印件（法定代表人签字或盖章）</w:t>
      </w:r>
    </w:p>
    <w:p>
      <w:pPr>
        <w:keepNext w:val="0"/>
        <w:keepLines w:val="0"/>
        <w:pageBreakBefore w:val="0"/>
        <w:numPr>
          <w:ilvl w:val="0"/>
          <w:numId w:val="2"/>
        </w:numPr>
        <w:kinsoku/>
        <w:wordWrap/>
        <w:overflowPunct/>
        <w:topLinePunct w:val="0"/>
        <w:autoSpaceDE/>
        <w:autoSpaceDN/>
        <w:bidi w:val="0"/>
        <w:adjustRightInd/>
        <w:snapToGrid/>
        <w:spacing w:line="400" w:lineRule="exact"/>
        <w:ind w:left="402" w:leftChars="0" w:hanging="402" w:hangingChars="167"/>
        <w:textAlignment w:val="auto"/>
        <w:outlineLvl w:val="9"/>
        <w:rPr>
          <w:rFonts w:ascii="Times New Roman" w:hAnsi="Times New Roman"/>
          <w:b/>
          <w:bCs/>
          <w:highlight w:val="none"/>
        </w:rPr>
      </w:pPr>
      <w:r>
        <w:rPr>
          <w:rFonts w:hint="eastAsia" w:ascii="Times New Roman" w:hAnsi="Times New Roman"/>
          <w:b/>
          <w:bCs/>
          <w:sz w:val="24"/>
          <w:highlight w:val="none"/>
          <w:lang w:eastAsia="zh-CN"/>
        </w:rPr>
        <w:t>响应单位代表如非单位法定代表人，则应提供由法定代表人出具的《法定代表人授权委托书》、法定代表人身份证复印件（法定代表人签字或盖章）、授权代表人身份证复印件（授权代表人签字或盖章）。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响应文件编制、提交要求</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响应文件应包括下列内容：</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lang w:eastAsia="zh-CN"/>
        </w:rPr>
        <w:t>本文件第一章</w:t>
      </w:r>
      <w:r>
        <w:rPr>
          <w:rFonts w:hint="eastAsia" w:ascii="Times New Roman" w:hAnsi="Times New Roman"/>
          <w:sz w:val="24"/>
          <w:highlight w:val="none"/>
          <w:lang w:val="en-US" w:eastAsia="zh-CN"/>
        </w:rPr>
        <w:t xml:space="preserve"> 3.2中要求的所有文件</w:t>
      </w:r>
      <w:r>
        <w:rPr>
          <w:rFonts w:hint="eastAsia" w:ascii="Times New Roman" w:hAnsi="Times New Roman"/>
          <w:sz w:val="24"/>
          <w:highlight w:val="none"/>
        </w:rPr>
        <w:t>；</w:t>
      </w:r>
    </w:p>
    <w:p>
      <w:pPr>
        <w:keepNext w:val="0"/>
        <w:keepLines w:val="0"/>
        <w:pageBreakBefore w:val="0"/>
        <w:numPr>
          <w:ilvl w:val="0"/>
          <w:numId w:val="4"/>
        </w:numPr>
        <w:kinsoku/>
        <w:wordWrap/>
        <w:overflowPunct/>
        <w:topLinePunct w:val="0"/>
        <w:autoSpaceDE/>
        <w:autoSpaceDN/>
        <w:bidi w:val="0"/>
        <w:adjustRightInd/>
        <w:snapToGrid/>
        <w:spacing w:line="400" w:lineRule="exact"/>
        <w:ind w:left="0" w:firstLine="480" w:firstLineChars="200"/>
        <w:textAlignment w:val="auto"/>
        <w:outlineLvl w:val="9"/>
        <w:rPr>
          <w:rFonts w:hint="eastAsia" w:ascii="Times New Roman" w:hAnsi="Times New Roman"/>
          <w:sz w:val="24"/>
          <w:highlight w:val="none"/>
        </w:rPr>
      </w:pPr>
      <w:r>
        <w:rPr>
          <w:rFonts w:hint="eastAsia" w:ascii="Times New Roman" w:hAnsi="Times New Roman"/>
          <w:sz w:val="24"/>
          <w:highlight w:val="none"/>
        </w:rPr>
        <w:t>供应商认为需提供的其它资料。</w:t>
      </w:r>
    </w:p>
    <w:p>
      <w:pPr>
        <w:keepNext w:val="0"/>
        <w:keepLines w:val="0"/>
        <w:pageBreakBefore w:val="0"/>
        <w:kinsoku/>
        <w:wordWrap/>
        <w:overflowPunct/>
        <w:topLinePunct w:val="0"/>
        <w:autoSpaceDE/>
        <w:autoSpaceDN/>
        <w:bidi w:val="0"/>
        <w:adjustRightInd/>
        <w:snapToGrid/>
        <w:spacing w:line="400" w:lineRule="exact"/>
        <w:ind w:left="0" w:firstLine="482" w:firstLineChars="200"/>
        <w:textAlignment w:val="auto"/>
        <w:outlineLvl w:val="9"/>
        <w:rPr>
          <w:rFonts w:ascii="Times New Roman" w:hAnsi="Times New Roman"/>
          <w:b/>
          <w:bCs/>
          <w:sz w:val="24"/>
          <w:highlight w:val="none"/>
        </w:rPr>
      </w:pPr>
      <w:r>
        <w:rPr>
          <w:rFonts w:hint="eastAsia" w:ascii="Times New Roman" w:hAnsi="Times New Roman"/>
          <w:b/>
          <w:bCs/>
          <w:sz w:val="24"/>
          <w:highlight w:val="none"/>
        </w:rPr>
        <w:t>供应商无论成交与否，其响应文件不予退还。</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响应单位应完整地填写本文件中提供的报价一览表和分项报价表。</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2" w:leftChars="0" w:hanging="402" w:hangingChars="167"/>
        <w:textAlignment w:val="auto"/>
        <w:outlineLvl w:val="9"/>
        <w:rPr>
          <w:rFonts w:hint="eastAsia" w:ascii="宋体" w:hAnsi="宋体" w:eastAsia="宋体" w:cs="宋体"/>
          <w:sz w:val="24"/>
          <w:highlight w:val="none"/>
          <w:lang w:eastAsia="zh-CN"/>
        </w:rPr>
      </w:pPr>
      <w:r>
        <w:rPr>
          <w:rFonts w:hint="eastAsia" w:ascii="宋体" w:hAnsi="宋体" w:eastAsia="宋体" w:cs="宋体"/>
          <w:b/>
          <w:bCs/>
          <w:sz w:val="24"/>
          <w:highlight w:val="none"/>
          <w:lang w:eastAsia="zh-CN"/>
        </w:rPr>
        <w:t>响应单位</w:t>
      </w:r>
      <w:r>
        <w:rPr>
          <w:rFonts w:hint="eastAsia" w:ascii="宋体" w:hAnsi="宋体" w:eastAsia="宋体" w:cs="宋体"/>
          <w:b/>
          <w:bCs/>
          <w:spacing w:val="-4"/>
          <w:sz w:val="24"/>
          <w:szCs w:val="24"/>
          <w:highlight w:val="none"/>
        </w:rPr>
        <w:t>应根据</w:t>
      </w:r>
      <w:r>
        <w:rPr>
          <w:rFonts w:hint="eastAsia" w:ascii="宋体" w:hAnsi="宋体" w:eastAsia="宋体" w:cs="宋体"/>
          <w:b/>
          <w:bCs/>
          <w:spacing w:val="-4"/>
          <w:sz w:val="24"/>
          <w:szCs w:val="24"/>
          <w:highlight w:val="none"/>
          <w:lang w:eastAsia="zh-CN"/>
        </w:rPr>
        <w:t>邀请</w:t>
      </w:r>
      <w:r>
        <w:rPr>
          <w:rFonts w:hint="eastAsia" w:ascii="宋体" w:hAnsi="宋体" w:eastAsia="宋体" w:cs="宋体"/>
          <w:b/>
          <w:bCs/>
          <w:spacing w:val="-4"/>
          <w:sz w:val="24"/>
          <w:szCs w:val="24"/>
          <w:highlight w:val="none"/>
        </w:rPr>
        <w:t>文件的要求提供服务方案等内容</w:t>
      </w:r>
      <w:r>
        <w:rPr>
          <w:rFonts w:hint="eastAsia" w:ascii="宋体" w:hAnsi="宋体" w:eastAsia="宋体" w:cs="宋体"/>
          <w:b/>
          <w:bCs/>
          <w:spacing w:val="-4"/>
          <w:sz w:val="24"/>
          <w:szCs w:val="24"/>
          <w:highlight w:val="none"/>
          <w:lang w:val="en-US" w:eastAsia="zh-CN"/>
        </w:rPr>
        <w:t>,</w:t>
      </w:r>
      <w:r>
        <w:rPr>
          <w:rFonts w:hint="eastAsia" w:ascii="宋体" w:hAnsi="宋体" w:eastAsia="宋体" w:cs="宋体"/>
          <w:b/>
          <w:bCs/>
          <w:spacing w:val="-3"/>
          <w:sz w:val="24"/>
          <w:szCs w:val="24"/>
          <w:highlight w:val="none"/>
        </w:rPr>
        <w:t>以</w:t>
      </w:r>
      <w:r>
        <w:rPr>
          <w:rFonts w:hint="eastAsia" w:ascii="宋体" w:hAnsi="宋体" w:eastAsia="宋体" w:cs="宋体"/>
          <w:b/>
          <w:bCs/>
          <w:spacing w:val="-3"/>
          <w:sz w:val="24"/>
          <w:szCs w:val="24"/>
          <w:highlight w:val="none"/>
          <w:lang w:eastAsia="zh-CN"/>
        </w:rPr>
        <w:t>佐证对服务要求的</w:t>
      </w:r>
      <w:r>
        <w:rPr>
          <w:rFonts w:hint="eastAsia" w:ascii="宋体" w:hAnsi="宋体" w:eastAsia="宋体" w:cs="宋体"/>
          <w:b/>
          <w:bCs/>
          <w:spacing w:val="-3"/>
          <w:sz w:val="24"/>
          <w:szCs w:val="24"/>
          <w:highlight w:val="none"/>
        </w:rPr>
        <w:t>响应</w:t>
      </w:r>
      <w:r>
        <w:rPr>
          <w:rFonts w:hint="eastAsia" w:ascii="宋体" w:hAnsi="宋体" w:eastAsia="宋体" w:cs="宋体"/>
          <w:b/>
          <w:bCs/>
          <w:spacing w:val="-3"/>
          <w:sz w:val="24"/>
          <w:szCs w:val="24"/>
          <w:highlight w:val="none"/>
          <w:lang w:eastAsia="zh-CN"/>
        </w:rPr>
        <w:t>。</w:t>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本文件所指“公章”指需要响应单位的公司章，“投标专用章”、“合同专用章”等均不属于公章。</w:t>
      </w:r>
      <w:r>
        <w:rPr>
          <w:rFonts w:hint="eastAsia" w:ascii="Times New Roman" w:hAnsi="Times New Roman"/>
          <w:sz w:val="24"/>
          <w:highlight w:val="none"/>
          <w:lang w:eastAsia="zh-CN"/>
        </w:rPr>
        <w:tab/>
      </w:r>
    </w:p>
    <w:p>
      <w:pPr>
        <w:pStyle w:val="11"/>
        <w:keepNext w:val="0"/>
        <w:keepLines w:val="0"/>
        <w:pageBreakBefore w:val="0"/>
        <w:numPr>
          <w:ilvl w:val="0"/>
          <w:numId w:val="3"/>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响应文件的</w:t>
      </w:r>
      <w:r>
        <w:rPr>
          <w:rFonts w:hint="eastAsia"/>
          <w:sz w:val="24"/>
          <w:highlight w:val="none"/>
          <w:lang w:val="en-US" w:eastAsia="zh-CN"/>
        </w:rPr>
        <w:t>纸质版本</w:t>
      </w:r>
      <w:r>
        <w:rPr>
          <w:rFonts w:hint="eastAsia" w:ascii="Times New Roman" w:hAnsi="Times New Roman"/>
          <w:sz w:val="24"/>
          <w:highlight w:val="none"/>
          <w:lang w:eastAsia="zh-CN"/>
        </w:rPr>
        <w:t>应打印或用不褪色墨水书写，不得有任何修改。提供的电子版本应为响应文件</w:t>
      </w:r>
      <w:r>
        <w:rPr>
          <w:rFonts w:hint="eastAsia"/>
          <w:sz w:val="24"/>
          <w:highlight w:val="none"/>
          <w:lang w:val="en-US" w:eastAsia="zh-CN"/>
        </w:rPr>
        <w:t>纸质版</w:t>
      </w:r>
      <w:r>
        <w:rPr>
          <w:rFonts w:hint="eastAsia" w:ascii="Times New Roman" w:hAnsi="Times New Roman"/>
          <w:sz w:val="24"/>
          <w:highlight w:val="none"/>
          <w:lang w:eastAsia="zh-CN"/>
        </w:rPr>
        <w:t>的扫描件（红章）。</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竞争性谈判步骤：</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所有被邀请单位于规定的时间截止前提交响应文件。</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客服公司组建</w:t>
      </w:r>
      <w:r>
        <w:rPr>
          <w:rFonts w:hint="eastAsia"/>
          <w:sz w:val="24"/>
          <w:highlight w:val="none"/>
          <w:lang w:eastAsia="zh-CN"/>
        </w:rPr>
        <w:t>供应商选择工作小组</w:t>
      </w:r>
      <w:r>
        <w:rPr>
          <w:rFonts w:hint="eastAsia" w:ascii="Times New Roman" w:hAnsi="Times New Roman"/>
          <w:sz w:val="24"/>
          <w:highlight w:val="none"/>
          <w:lang w:eastAsia="zh-CN"/>
        </w:rPr>
        <w:t>组织开标（响应单位无需到场）。</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sz w:val="24"/>
          <w:highlight w:val="none"/>
          <w:lang w:eastAsia="zh-CN"/>
        </w:rPr>
        <w:t>供应商选择工作小组</w:t>
      </w:r>
      <w:r>
        <w:rPr>
          <w:rFonts w:hint="eastAsia" w:ascii="Times New Roman" w:hAnsi="Times New Roman"/>
          <w:sz w:val="24"/>
          <w:highlight w:val="none"/>
          <w:lang w:eastAsia="zh-CN"/>
        </w:rPr>
        <w:t>按照竞争性谈判文件要求开展评审，评审过程中，</w:t>
      </w:r>
      <w:r>
        <w:rPr>
          <w:rFonts w:hint="eastAsia"/>
          <w:sz w:val="24"/>
          <w:highlight w:val="none"/>
          <w:lang w:eastAsia="zh-CN"/>
        </w:rPr>
        <w:t>供应商选择工作小组</w:t>
      </w:r>
      <w:r>
        <w:rPr>
          <w:rFonts w:hint="eastAsia" w:ascii="Times New Roman" w:hAnsi="Times New Roman"/>
          <w:sz w:val="24"/>
          <w:highlight w:val="none"/>
          <w:lang w:eastAsia="zh-CN"/>
        </w:rPr>
        <w:t>可与受邀供应商开展谈判，谈判后供应商应提交最终版的响应文件及报价。</w:t>
      </w:r>
    </w:p>
    <w:p>
      <w:pPr>
        <w:pStyle w:val="11"/>
        <w:keepNext w:val="0"/>
        <w:keepLines w:val="0"/>
        <w:pageBreakBefore w:val="0"/>
        <w:numPr>
          <w:ilvl w:val="0"/>
          <w:numId w:val="5"/>
        </w:numPr>
        <w:kinsoku/>
        <w:wordWrap/>
        <w:overflowPunct/>
        <w:topLinePunct w:val="0"/>
        <w:autoSpaceDE/>
        <w:autoSpaceDN/>
        <w:bidi w:val="0"/>
        <w:adjustRightInd/>
        <w:snapToGrid/>
        <w:spacing w:line="400" w:lineRule="exact"/>
        <w:ind w:left="417" w:leftChars="9" w:hanging="398" w:hangingChars="166"/>
        <w:textAlignment w:val="auto"/>
        <w:outlineLvl w:val="9"/>
        <w:rPr>
          <w:rFonts w:hint="eastAsia" w:ascii="Times New Roman" w:hAnsi="Times New Roman"/>
          <w:sz w:val="24"/>
          <w:highlight w:val="none"/>
          <w:lang w:eastAsia="zh-CN"/>
        </w:rPr>
      </w:pPr>
      <w:r>
        <w:rPr>
          <w:rFonts w:hint="eastAsia"/>
          <w:sz w:val="24"/>
          <w:highlight w:val="none"/>
          <w:lang w:val="en-US" w:eastAsia="zh-CN"/>
        </w:rPr>
        <w:t>供应商选择工作小组</w:t>
      </w:r>
      <w:r>
        <w:rPr>
          <w:rFonts w:hint="eastAsia" w:ascii="Times New Roman" w:hAnsi="Times New Roman"/>
          <w:sz w:val="24"/>
          <w:highlight w:val="none"/>
          <w:lang w:eastAsia="zh-CN"/>
        </w:rPr>
        <w:t>选择满足竞争性谈判文件实质性要求，并且经评审最优的供应商为成交候选人。</w:t>
      </w:r>
    </w:p>
    <w:p>
      <w:pPr>
        <w:keepNext w:val="0"/>
        <w:keepLines w:val="0"/>
        <w:pageBreakBefore w:val="0"/>
        <w:widowControl w:val="0"/>
        <w:numPr>
          <w:ilvl w:val="0"/>
          <w:numId w:val="1"/>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响应单位串标、围标的认定：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 w:leftChars="-5" w:firstLine="480" w:firstLineChars="200"/>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响应单位有以下情况的，响应文件将认定无效。</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不同响应单位的响应文件由同一单位或者个人编制；</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不同响应单位委托同一单位或者个人办理响应事宜；</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不同响应单位的响应文件载明的项目管理成员或者联系人员为同一人；</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不同响应单位的响应文件存在异常一致的错误；</w:t>
      </w:r>
    </w:p>
    <w:p>
      <w:pPr>
        <w:pStyle w:val="11"/>
        <w:keepNext w:val="0"/>
        <w:keepLines w:val="0"/>
        <w:pageBreakBefore w:val="0"/>
        <w:numPr>
          <w:ilvl w:val="0"/>
          <w:numId w:val="6"/>
        </w:numPr>
        <w:kinsoku/>
        <w:wordWrap/>
        <w:overflowPunct/>
        <w:topLinePunct w:val="0"/>
        <w:autoSpaceDE/>
        <w:autoSpaceDN/>
        <w:bidi w:val="0"/>
        <w:adjustRightInd/>
        <w:snapToGrid/>
        <w:spacing w:line="400" w:lineRule="exact"/>
        <w:ind w:left="400" w:leftChars="0" w:hanging="400" w:hangingChars="167"/>
        <w:textAlignment w:val="auto"/>
        <w:outlineLvl w:val="9"/>
        <w:rPr>
          <w:rFonts w:hint="eastAsia" w:ascii="Times New Roman" w:hAnsi="Times New Roman"/>
          <w:sz w:val="24"/>
          <w:highlight w:val="none"/>
          <w:lang w:eastAsia="zh-CN"/>
        </w:rPr>
      </w:pPr>
      <w:r>
        <w:rPr>
          <w:rFonts w:hint="eastAsia" w:ascii="Times New Roman" w:hAnsi="Times New Roman"/>
          <w:sz w:val="24"/>
          <w:highlight w:val="none"/>
          <w:lang w:eastAsia="zh-CN"/>
        </w:rPr>
        <w:t>不同响应单位的响应文件相互混装。</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sz w:val="24"/>
          <w:highlight w:val="none"/>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bookmarkStart w:id="9" w:name="_Hlk11752017"/>
      <w:bookmarkStart w:id="10" w:name="_Hlk11751980"/>
    </w:p>
    <w:p>
      <w:pPr>
        <w:keepNext w:val="0"/>
        <w:keepLines w:val="0"/>
        <w:pageBreakBefore w:val="0"/>
        <w:widowControl w:val="0"/>
        <w:kinsoku/>
        <w:wordWrap/>
        <w:overflowPunct/>
        <w:topLinePunct w:val="0"/>
        <w:autoSpaceDE/>
        <w:autoSpaceDN/>
        <w:bidi w:val="0"/>
        <w:adjustRightInd/>
        <w:snapToGrid/>
        <w:jc w:val="center"/>
        <w:textAlignment w:val="auto"/>
        <w:outlineLvl w:val="0"/>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Start w:id="24" w:name="_GoBack"/>
      <w:bookmarkEnd w:id="24"/>
      <w:bookmarkStart w:id="11" w:name="_Toc31820_WPSOffice_Level1"/>
      <w:r>
        <w:rPr>
          <w:rFonts w:hint="eastAsia" w:ascii="方正小标宋简体" w:hAnsi="方正小标宋简体" w:eastAsia="方正小标宋简体" w:cs="方正小标宋简体"/>
          <w:b/>
          <w:bCs w:val="0"/>
          <w:color w:val="000000"/>
          <w:sz w:val="36"/>
          <w:szCs w:val="36"/>
          <w:highlight w:val="none"/>
          <w:lang w:eastAsia="zh-CN"/>
        </w:rPr>
        <w:t>第三</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评审办法</w:t>
      </w:r>
      <w:bookmarkEnd w:id="11"/>
    </w:p>
    <w:p>
      <w:pPr>
        <w:keepNext w:val="0"/>
        <w:keepLines w:val="0"/>
        <w:pageBreakBefore w:val="0"/>
        <w:kinsoku/>
        <w:overflowPunct/>
        <w:topLinePunct w:val="0"/>
        <w:bidi w:val="0"/>
        <w:adjustRightInd w:val="0"/>
        <w:snapToGrid w:val="0"/>
        <w:spacing w:line="360" w:lineRule="auto"/>
        <w:ind w:firstLine="480" w:firstLineChars="200"/>
        <w:textAlignment w:val="auto"/>
        <w:outlineLvl w:val="9"/>
        <w:rPr>
          <w:rFonts w:ascii="Calibri" w:hAnsi="Calibri" w:cs="Calibri"/>
          <w:snapToGrid w:val="0"/>
          <w:color w:val="000000"/>
          <w:sz w:val="24"/>
          <w:szCs w:val="24"/>
          <w:highlight w:val="none"/>
        </w:rPr>
      </w:pPr>
      <w:bookmarkStart w:id="12" w:name="_Hlk35936740"/>
      <w:r>
        <w:rPr>
          <w:rFonts w:hint="eastAsia" w:ascii="Calibri" w:hAnsi="Calibri" w:cs="Calibri"/>
          <w:snapToGrid w:val="0"/>
          <w:sz w:val="24"/>
          <w:szCs w:val="24"/>
          <w:highlight w:val="none"/>
          <w:lang w:eastAsia="zh-CN"/>
        </w:rPr>
        <w:t>项目评审</w:t>
      </w:r>
      <w:r>
        <w:rPr>
          <w:rFonts w:ascii="Calibri" w:hAnsi="Calibri" w:cs="Calibri"/>
          <w:snapToGrid w:val="0"/>
          <w:sz w:val="24"/>
          <w:szCs w:val="24"/>
          <w:highlight w:val="none"/>
          <w:lang w:eastAsia="ko-KR"/>
        </w:rPr>
        <w:t>由</w:t>
      </w:r>
      <w:r>
        <w:rPr>
          <w:rFonts w:hint="eastAsia" w:ascii="Calibri" w:hAnsi="Calibri" w:cs="Calibri"/>
          <w:snapToGrid w:val="0"/>
          <w:sz w:val="24"/>
          <w:szCs w:val="24"/>
          <w:highlight w:val="none"/>
          <w:lang w:eastAsia="zh-CN"/>
        </w:rPr>
        <w:t>客服公司组建的供应商选择工作小组负责</w:t>
      </w:r>
      <w:r>
        <w:rPr>
          <w:rFonts w:ascii="Calibri" w:hAnsi="Calibri" w:cs="Calibri"/>
          <w:snapToGrid w:val="0"/>
          <w:sz w:val="24"/>
          <w:szCs w:val="24"/>
          <w:highlight w:val="none"/>
          <w:lang w:eastAsia="ko-KR"/>
        </w:rPr>
        <w:t>。</w:t>
      </w: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将</w:t>
      </w:r>
      <w:r>
        <w:rPr>
          <w:rFonts w:hint="eastAsia" w:ascii="Calibri" w:hAnsi="Calibri" w:cs="Calibri"/>
          <w:snapToGrid w:val="0"/>
          <w:sz w:val="24"/>
          <w:szCs w:val="24"/>
          <w:highlight w:val="none"/>
          <w:lang w:eastAsia="zh-CN"/>
        </w:rPr>
        <w:t>按照本文件</w:t>
      </w:r>
      <w:r>
        <w:rPr>
          <w:rFonts w:ascii="Calibri" w:hAnsi="Calibri" w:cs="Calibri"/>
          <w:snapToGrid w:val="0"/>
          <w:sz w:val="24"/>
          <w:szCs w:val="24"/>
          <w:highlight w:val="none"/>
          <w:lang w:eastAsia="ko-KR"/>
        </w:rPr>
        <w:t>确定</w:t>
      </w:r>
      <w:r>
        <w:rPr>
          <w:rFonts w:ascii="Calibri" w:hAnsi="Calibri" w:cs="Calibri"/>
          <w:snapToGrid w:val="0"/>
          <w:color w:val="000000"/>
          <w:sz w:val="24"/>
          <w:szCs w:val="24"/>
          <w:highlight w:val="none"/>
          <w:lang w:eastAsia="ko-KR"/>
        </w:rPr>
        <w:t>的</w:t>
      </w:r>
      <w:r>
        <w:rPr>
          <w:rFonts w:hint="eastAsia" w:ascii="Calibri" w:hAnsi="Calibri" w:cs="Calibri"/>
          <w:snapToGrid w:val="0"/>
          <w:color w:val="000000"/>
          <w:sz w:val="24"/>
          <w:szCs w:val="24"/>
          <w:highlight w:val="none"/>
          <w:lang w:eastAsia="zh-CN"/>
        </w:rPr>
        <w:t>评审方式</w:t>
      </w:r>
      <w:r>
        <w:rPr>
          <w:rFonts w:ascii="Calibri" w:hAnsi="Calibri" w:cs="Calibri"/>
          <w:snapToGrid w:val="0"/>
          <w:color w:val="000000"/>
          <w:sz w:val="24"/>
          <w:szCs w:val="24"/>
          <w:highlight w:val="none"/>
          <w:lang w:eastAsia="ko-KR"/>
        </w:rPr>
        <w:t>进行</w:t>
      </w:r>
      <w:r>
        <w:rPr>
          <w:rFonts w:hint="eastAsia" w:ascii="Calibri" w:hAnsi="Calibri" w:cs="Calibri"/>
          <w:snapToGrid w:val="0"/>
          <w:color w:val="000000"/>
          <w:sz w:val="24"/>
          <w:szCs w:val="24"/>
          <w:highlight w:val="none"/>
          <w:lang w:eastAsia="zh-CN"/>
        </w:rPr>
        <w:t>评审。评审过程分为</w:t>
      </w:r>
      <w:r>
        <w:rPr>
          <w:rFonts w:ascii="Calibri" w:hAnsi="Calibri" w:cs="Calibri"/>
          <w:snapToGrid w:val="0"/>
          <w:color w:val="000000"/>
          <w:sz w:val="24"/>
          <w:szCs w:val="24"/>
          <w:highlight w:val="none"/>
          <w:lang w:eastAsia="ko-KR"/>
        </w:rPr>
        <w:t>符合性评审</w:t>
      </w:r>
      <w:r>
        <w:rPr>
          <w:rFonts w:hint="eastAsia" w:ascii="Calibri" w:hAnsi="Calibri" w:cs="Calibri"/>
          <w:snapToGrid w:val="0"/>
          <w:color w:val="000000"/>
          <w:sz w:val="24"/>
          <w:szCs w:val="24"/>
          <w:highlight w:val="none"/>
          <w:lang w:eastAsia="zh-CN"/>
        </w:rPr>
        <w:t>、商务谈判（按需）</w:t>
      </w:r>
      <w:r>
        <w:rPr>
          <w:rFonts w:ascii="Calibri" w:hAnsi="Calibri" w:cs="Calibri"/>
          <w:snapToGrid w:val="0"/>
          <w:color w:val="000000"/>
          <w:sz w:val="24"/>
          <w:szCs w:val="24"/>
          <w:highlight w:val="none"/>
          <w:lang w:eastAsia="ko-KR"/>
        </w:rPr>
        <w:t>和</w:t>
      </w:r>
      <w:r>
        <w:rPr>
          <w:rFonts w:hint="eastAsia" w:ascii="Calibri" w:hAnsi="Calibri" w:cs="Calibri"/>
          <w:snapToGrid w:val="0"/>
          <w:color w:val="000000"/>
          <w:sz w:val="24"/>
          <w:szCs w:val="24"/>
          <w:highlight w:val="none"/>
          <w:lang w:eastAsia="zh-CN"/>
        </w:rPr>
        <w:t>最终</w:t>
      </w:r>
      <w:r>
        <w:rPr>
          <w:rFonts w:ascii="Calibri" w:hAnsi="Calibri" w:cs="Calibri"/>
          <w:snapToGrid w:val="0"/>
          <w:color w:val="000000"/>
          <w:sz w:val="24"/>
          <w:szCs w:val="24"/>
          <w:highlight w:val="none"/>
          <w:lang w:eastAsia="ko-KR"/>
        </w:rPr>
        <w:t>评审。</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符合性评审</w:t>
      </w:r>
    </w:p>
    <w:p>
      <w:pPr>
        <w:keepNext w:val="0"/>
        <w:keepLines w:val="0"/>
        <w:pageBreakBefore w:val="0"/>
        <w:kinsoku/>
        <w:overflowPunct/>
        <w:topLinePunct w:val="0"/>
        <w:bidi w:val="0"/>
        <w:snapToGrid w:val="0"/>
        <w:spacing w:line="360" w:lineRule="auto"/>
        <w:ind w:firstLine="480" w:firstLineChars="200"/>
        <w:textAlignment w:val="auto"/>
        <w:outlineLvl w:val="9"/>
        <w:rPr>
          <w:rFonts w:ascii="Calibri" w:hAnsi="Calibri" w:cs="Calibri"/>
          <w:snapToGrid w:val="0"/>
          <w:sz w:val="24"/>
          <w:szCs w:val="24"/>
          <w:highlight w:val="none"/>
          <w:lang w:eastAsia="ko-KR"/>
        </w:rPr>
      </w:pPr>
      <w:r>
        <w:rPr>
          <w:rFonts w:hint="eastAsia" w:ascii="Calibri" w:hAnsi="Calibri" w:cs="Calibri"/>
          <w:snapToGrid w:val="0"/>
          <w:sz w:val="24"/>
          <w:szCs w:val="24"/>
          <w:highlight w:val="none"/>
          <w:lang w:eastAsia="zh-CN"/>
        </w:rPr>
        <w:t>供应商选择工作小组</w:t>
      </w:r>
      <w:r>
        <w:rPr>
          <w:rFonts w:ascii="Calibri" w:hAnsi="Calibri" w:cs="Calibri"/>
          <w:snapToGrid w:val="0"/>
          <w:sz w:val="24"/>
          <w:szCs w:val="24"/>
          <w:highlight w:val="none"/>
          <w:lang w:eastAsia="ko-KR"/>
        </w:rPr>
        <w:t>首先对所有</w:t>
      </w:r>
      <w:r>
        <w:rPr>
          <w:rFonts w:hint="eastAsia" w:ascii="Calibri" w:hAnsi="Calibri" w:cs="Calibri"/>
          <w:snapToGrid w:val="0"/>
          <w:sz w:val="24"/>
          <w:szCs w:val="24"/>
          <w:highlight w:val="none"/>
          <w:lang w:eastAsia="zh-CN"/>
        </w:rPr>
        <w:t>响应文件</w:t>
      </w:r>
      <w:r>
        <w:rPr>
          <w:rFonts w:ascii="Calibri" w:hAnsi="Calibri" w:cs="Calibri"/>
          <w:snapToGrid w:val="0"/>
          <w:sz w:val="24"/>
          <w:szCs w:val="24"/>
          <w:highlight w:val="none"/>
          <w:lang w:eastAsia="ko-KR"/>
        </w:rPr>
        <w:t>做符合性</w:t>
      </w:r>
      <w:r>
        <w:rPr>
          <w:rFonts w:hint="eastAsia" w:ascii="Calibri" w:hAnsi="Calibri" w:cs="Calibri"/>
          <w:snapToGrid w:val="0"/>
          <w:sz w:val="24"/>
          <w:szCs w:val="24"/>
          <w:highlight w:val="none"/>
          <w:lang w:eastAsia="zh-CN"/>
        </w:rPr>
        <w:t>评审</w:t>
      </w:r>
      <w:r>
        <w:rPr>
          <w:rFonts w:ascii="Calibri" w:hAnsi="Calibri" w:cs="Calibri"/>
          <w:snapToGrid w:val="0"/>
          <w:sz w:val="24"/>
          <w:szCs w:val="24"/>
          <w:highlight w:val="none"/>
          <w:lang w:eastAsia="ko-KR"/>
        </w:rPr>
        <w:t>，</w:t>
      </w:r>
      <w:r>
        <w:rPr>
          <w:rFonts w:ascii="Calibri" w:hAnsi="Calibri" w:cs="Calibri"/>
          <w:snapToGrid w:val="0"/>
          <w:kern w:val="0"/>
          <w:sz w:val="24"/>
          <w:highlight w:val="none"/>
        </w:rPr>
        <w:t>将审查</w:t>
      </w:r>
      <w:r>
        <w:rPr>
          <w:rFonts w:hint="eastAsia" w:ascii="Calibri" w:hAnsi="Calibri" w:cs="Calibri"/>
          <w:snapToGrid w:val="0"/>
          <w:kern w:val="0"/>
          <w:sz w:val="24"/>
          <w:highlight w:val="none"/>
          <w:lang w:eastAsia="zh-CN"/>
        </w:rPr>
        <w:t>响应</w:t>
      </w:r>
      <w:r>
        <w:rPr>
          <w:rFonts w:ascii="Calibri" w:hAnsi="Calibri" w:cs="Calibri"/>
          <w:snapToGrid w:val="0"/>
          <w:kern w:val="0"/>
          <w:sz w:val="24"/>
          <w:highlight w:val="none"/>
        </w:rPr>
        <w:t>文件是否完整、总体编排是否有序、文件签署是否合格、有无计算上的错误等。</w:t>
      </w:r>
      <w:r>
        <w:rPr>
          <w:rFonts w:ascii="Calibri" w:hAnsi="Calibri" w:cs="Calibri"/>
          <w:snapToGrid w:val="0"/>
          <w:sz w:val="24"/>
          <w:szCs w:val="24"/>
          <w:highlight w:val="none"/>
          <w:lang w:eastAsia="ko-KR"/>
        </w:rPr>
        <w:t>主要评议各</w:t>
      </w:r>
      <w:r>
        <w:rPr>
          <w:rFonts w:hint="eastAsia" w:ascii="Calibri" w:hAnsi="Calibri" w:cs="Calibri"/>
          <w:snapToGrid w:val="0"/>
          <w:sz w:val="24"/>
          <w:szCs w:val="24"/>
          <w:highlight w:val="none"/>
          <w:lang w:eastAsia="zh-CN"/>
        </w:rPr>
        <w:t>响应单位</w:t>
      </w:r>
      <w:r>
        <w:rPr>
          <w:rFonts w:ascii="Calibri" w:hAnsi="Calibri" w:cs="Calibri"/>
          <w:snapToGrid w:val="0"/>
          <w:sz w:val="24"/>
          <w:szCs w:val="24"/>
          <w:highlight w:val="none"/>
          <w:lang w:eastAsia="ko-KR"/>
        </w:rPr>
        <w:t>是否按</w:t>
      </w:r>
      <w:r>
        <w:rPr>
          <w:rFonts w:hint="eastAsia" w:ascii="Calibri" w:hAnsi="Calibri" w:cs="Calibri"/>
          <w:snapToGrid w:val="0"/>
          <w:sz w:val="24"/>
          <w:szCs w:val="24"/>
          <w:highlight w:val="none"/>
          <w:lang w:eastAsia="zh-CN"/>
        </w:rPr>
        <w:t>竞争性谈判</w:t>
      </w:r>
      <w:r>
        <w:rPr>
          <w:rFonts w:ascii="Calibri" w:hAnsi="Calibri" w:cs="Calibri"/>
          <w:snapToGrid w:val="0"/>
          <w:sz w:val="24"/>
          <w:szCs w:val="24"/>
          <w:highlight w:val="none"/>
          <w:lang w:eastAsia="ko-KR"/>
        </w:rPr>
        <w:t>文件的要求提供了所有关键性文件，包括：法人代表授权书</w:t>
      </w:r>
      <w:r>
        <w:rPr>
          <w:rFonts w:hint="eastAsia" w:ascii="Calibri" w:hAnsi="Calibri" w:cs="Calibri"/>
          <w:snapToGrid w:val="0"/>
          <w:sz w:val="24"/>
          <w:szCs w:val="24"/>
          <w:highlight w:val="none"/>
          <w:lang w:eastAsia="zh-CN"/>
        </w:rPr>
        <w:t>（如有）</w:t>
      </w:r>
      <w:r>
        <w:rPr>
          <w:rFonts w:ascii="Calibri" w:hAnsi="Calibri" w:cs="Calibri"/>
          <w:snapToGrid w:val="0"/>
          <w:sz w:val="24"/>
          <w:szCs w:val="24"/>
          <w:highlight w:val="none"/>
          <w:lang w:eastAsia="ko-KR"/>
        </w:rPr>
        <w:t>、资格证明文件等。</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lang w:eastAsia="zh-CN"/>
              </w:rPr>
            </w:pPr>
            <w:r>
              <w:rPr>
                <w:rFonts w:hint="eastAsia" w:ascii="宋体" w:hAnsi="宋体"/>
                <w:szCs w:val="21"/>
                <w:highlight w:val="none"/>
                <w:lang w:eastAsia="zh-CN"/>
              </w:rPr>
              <w:t>序号</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评审内容</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szCs w:val="21"/>
                <w:highlight w:val="none"/>
              </w:rPr>
            </w:pPr>
            <w:r>
              <w:rPr>
                <w:rFonts w:hint="eastAsia" w:ascii="宋体" w:hAnsi="宋体"/>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1</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营业执照</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商务要求或技术要求</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w:t>
            </w:r>
            <w:r>
              <w:rPr>
                <w:rFonts w:hint="eastAsia" w:ascii="宋体" w:hAnsi="宋体"/>
                <w:szCs w:val="21"/>
                <w:highlight w:val="none"/>
                <w:lang w:eastAsia="zh-CN"/>
              </w:rPr>
              <w:t>响应</w:t>
            </w:r>
            <w:r>
              <w:rPr>
                <w:rFonts w:hint="eastAsia" w:ascii="宋体" w:hAnsi="宋体"/>
                <w:szCs w:val="21"/>
                <w:highlight w:val="none"/>
              </w:rPr>
              <w:t>竞争性谈判文件</w:t>
            </w:r>
            <w:r>
              <w:rPr>
                <w:rFonts w:hint="eastAsia" w:ascii="宋体" w:hAnsi="宋体"/>
                <w:szCs w:val="21"/>
                <w:highlight w:val="none"/>
                <w:lang w:eastAsia="zh-CN"/>
              </w:rPr>
              <w:t>“</w:t>
            </w:r>
            <w:r>
              <w:rPr>
                <w:rFonts w:hint="eastAsia" w:ascii="宋体" w:hAnsi="宋体"/>
                <w:szCs w:val="21"/>
                <w:highlight w:val="none"/>
                <w:lang w:val="en-US" w:eastAsia="zh-CN"/>
              </w:rPr>
              <w:t>*</w:t>
            </w:r>
            <w:r>
              <w:rPr>
                <w:rFonts w:hint="eastAsia" w:ascii="宋体" w:hAnsi="宋体"/>
                <w:szCs w:val="21"/>
                <w:highlight w:val="none"/>
                <w:lang w:eastAsia="zh-CN"/>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2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法定代表人或授权代表资格</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rPr>
              <w:t>供应商名称</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5</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文件签署</w:t>
            </w:r>
          </w:p>
        </w:tc>
        <w:tc>
          <w:tcPr>
            <w:tcW w:w="579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未按竞争性谈判文件要求</w:t>
            </w:r>
            <w:r>
              <w:rPr>
                <w:rFonts w:hint="eastAsia" w:ascii="宋体" w:hAnsi="宋体"/>
                <w:szCs w:val="21"/>
                <w:highlight w:val="none"/>
                <w:lang w:eastAsia="zh-CN"/>
              </w:rPr>
              <w:t>签署或</w:t>
            </w:r>
            <w:r>
              <w:rPr>
                <w:rFonts w:hint="eastAsia" w:ascii="宋体" w:hAnsi="宋体"/>
                <w:szCs w:val="21"/>
                <w:highlight w:val="none"/>
              </w:rPr>
              <w:t>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w:t>
            </w:r>
            <w:r>
              <w:rPr>
                <w:rFonts w:hint="eastAsia" w:ascii="宋体" w:hAnsi="宋体"/>
                <w:szCs w:val="21"/>
                <w:highlight w:val="none"/>
              </w:rPr>
              <w:t>方案及报价</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递交两份或多份内容不同的</w:t>
            </w:r>
            <w:r>
              <w:rPr>
                <w:rFonts w:hint="eastAsia" w:ascii="宋体" w:hAnsi="宋体"/>
                <w:szCs w:val="21"/>
                <w:highlight w:val="none"/>
                <w:lang w:eastAsia="zh-CN"/>
              </w:rPr>
              <w:t>响应文件</w:t>
            </w:r>
            <w:r>
              <w:rPr>
                <w:rFonts w:hint="eastAsia" w:ascii="宋体" w:hAnsi="宋体"/>
                <w:szCs w:val="21"/>
                <w:highlight w:val="none"/>
              </w:rPr>
              <w:t>，或在一份</w:t>
            </w:r>
            <w:r>
              <w:rPr>
                <w:rFonts w:hint="eastAsia" w:ascii="宋体" w:hAnsi="宋体"/>
                <w:szCs w:val="21"/>
                <w:highlight w:val="none"/>
                <w:lang w:eastAsia="zh-CN"/>
              </w:rPr>
              <w:t>响应文件</w:t>
            </w:r>
            <w:r>
              <w:rPr>
                <w:rFonts w:hint="eastAsia" w:ascii="宋体" w:hAnsi="宋体"/>
                <w:szCs w:val="21"/>
                <w:highlight w:val="none"/>
              </w:rPr>
              <w:t>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7</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rPr>
            </w:pPr>
            <w:r>
              <w:rPr>
                <w:rFonts w:hint="eastAsia" w:ascii="宋体" w:hAnsi="宋体"/>
                <w:szCs w:val="21"/>
                <w:highlight w:val="none"/>
                <w:lang w:eastAsia="zh-CN"/>
              </w:rPr>
              <w:t>响应文件</w:t>
            </w:r>
            <w:r>
              <w:rPr>
                <w:rFonts w:hint="eastAsia" w:ascii="宋体" w:hAnsi="宋体"/>
                <w:szCs w:val="21"/>
                <w:highlight w:val="none"/>
              </w:rPr>
              <w:t>有效期</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val="en-US" w:eastAsia="zh-CN"/>
              </w:rPr>
            </w:pPr>
            <w:r>
              <w:rPr>
                <w:rFonts w:hint="eastAsia" w:ascii="宋体" w:hAnsi="宋体"/>
                <w:szCs w:val="21"/>
                <w:highlight w:val="none"/>
                <w:lang w:val="en-US" w:eastAsia="zh-CN"/>
              </w:rPr>
              <w:t>8</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szCs w:val="21"/>
                <w:highlight w:val="none"/>
              </w:rPr>
            </w:pPr>
            <w:r>
              <w:rPr>
                <w:rFonts w:hint="eastAsia" w:ascii="宋体" w:hAnsi="宋体"/>
                <w:szCs w:val="21"/>
                <w:highlight w:val="none"/>
                <w:lang w:eastAsia="zh-CN"/>
              </w:rPr>
              <w:t>服务期限</w:t>
            </w:r>
            <w:r>
              <w:rPr>
                <w:rFonts w:hint="eastAsia" w:ascii="宋体" w:hAnsi="宋体"/>
                <w:szCs w:val="21"/>
                <w:highlight w:val="none"/>
              </w:rPr>
              <w:t>或付款方式</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szCs w:val="21"/>
                <w:highlight w:val="none"/>
              </w:rPr>
            </w:pPr>
            <w:r>
              <w:rPr>
                <w:rFonts w:hint="eastAsia" w:ascii="宋体" w:hAnsi="宋体"/>
                <w:szCs w:val="21"/>
                <w:highlight w:val="none"/>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szCs w:val="21"/>
                <w:highlight w:val="none"/>
                <w:lang w:val="en-US" w:eastAsia="zh-CN"/>
              </w:rPr>
            </w:pPr>
            <w:r>
              <w:rPr>
                <w:rFonts w:hint="eastAsia" w:ascii="宋体" w:hAnsi="宋体"/>
                <w:szCs w:val="21"/>
                <w:highlight w:val="none"/>
                <w:lang w:val="en-US" w:eastAsia="zh-CN"/>
              </w:rPr>
              <w:t>9</w:t>
            </w:r>
          </w:p>
        </w:tc>
        <w:tc>
          <w:tcPr>
            <w:tcW w:w="2370" w:type="dxa"/>
            <w:vAlign w:val="center"/>
          </w:tcPr>
          <w:p>
            <w:pPr>
              <w:keepNext w:val="0"/>
              <w:keepLines w:val="0"/>
              <w:pageBreakBefore w:val="0"/>
              <w:kinsoku/>
              <w:overflowPunct/>
              <w:topLinePunct w:val="0"/>
              <w:bidi w:val="0"/>
              <w:spacing w:line="440" w:lineRule="exact"/>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其他</w:t>
            </w:r>
          </w:p>
        </w:tc>
        <w:tc>
          <w:tcPr>
            <w:tcW w:w="5790"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宋体" w:hAnsi="宋体" w:eastAsia="宋体"/>
                <w:szCs w:val="21"/>
                <w:highlight w:val="none"/>
                <w:lang w:eastAsia="zh-CN"/>
              </w:rPr>
            </w:pPr>
            <w:r>
              <w:rPr>
                <w:rFonts w:hint="eastAsia" w:ascii="宋体" w:hAnsi="宋体"/>
                <w:szCs w:val="21"/>
                <w:highlight w:val="none"/>
                <w:lang w:eastAsia="zh-CN"/>
              </w:rPr>
              <w:t>存在串标、围标情形</w:t>
            </w:r>
          </w:p>
        </w:tc>
      </w:tr>
    </w:tbl>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商务谈判</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供应商选择工作小组可自行决定与供应商开展商务谈判，谈判将与响应单位单独进行，谈判内容应仅限于对响应文件内容的确认以及对价格的谈判。谈判需形成书面文件，所有参与商务谈判的人员需签字确认。响应单位有义务配合供应商选择工作小组的约谈要求。如响应单位拒绝供应商选择工作小组的谈判要求，供应商选择工作小组可视同其文件内容不作变更。</w:t>
      </w:r>
    </w:p>
    <w:p>
      <w:pPr>
        <w:keepNext w:val="0"/>
        <w:keepLines w:val="0"/>
        <w:pageBreakBefore w:val="0"/>
        <w:kinsoku/>
        <w:overflowPunct/>
        <w:topLinePunct w:val="0"/>
        <w:bidi w:val="0"/>
        <w:snapToGrid w:val="0"/>
        <w:spacing w:line="360" w:lineRule="auto"/>
        <w:ind w:firstLine="480" w:firstLineChars="200"/>
        <w:textAlignment w:val="auto"/>
        <w:outlineLvl w:val="9"/>
        <w:rPr>
          <w:rFonts w:hint="eastAsia" w:ascii="Calibri" w:hAnsi="Calibri" w:cs="Calibri"/>
          <w:snapToGrid w:val="0"/>
          <w:sz w:val="24"/>
          <w:szCs w:val="24"/>
          <w:highlight w:val="none"/>
          <w:lang w:eastAsia="zh-CN"/>
        </w:rPr>
      </w:pPr>
      <w:r>
        <w:rPr>
          <w:rFonts w:hint="eastAsia" w:ascii="Calibri" w:hAnsi="Calibri" w:cs="Calibri"/>
          <w:snapToGrid w:val="0"/>
          <w:sz w:val="24"/>
          <w:szCs w:val="24"/>
          <w:highlight w:val="none"/>
          <w:lang w:eastAsia="zh-CN"/>
        </w:rPr>
        <w:t>谈判结束后，响应单位应在规定时间内提交最后方案及报价，最终方案及报价是供应商响应文件的有效组成部分，其效力相同。</w:t>
      </w:r>
    </w:p>
    <w:bookmarkEnd w:id="12"/>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最终评审</w:t>
      </w:r>
    </w:p>
    <w:p>
      <w:pPr>
        <w:keepNext w:val="0"/>
        <w:keepLines w:val="0"/>
        <w:pageBreakBefore w:val="0"/>
        <w:kinsoku/>
        <w:overflowPunct/>
        <w:topLinePunct w:val="0"/>
        <w:bidi w:val="0"/>
        <w:snapToGrid w:val="0"/>
        <w:spacing w:line="360" w:lineRule="auto"/>
        <w:ind w:firstLine="482" w:firstLineChars="200"/>
        <w:textAlignment w:val="auto"/>
        <w:outlineLvl w:val="9"/>
        <w:rPr>
          <w:rFonts w:hint="eastAsia" w:ascii="Calibri" w:hAnsi="Calibri" w:cs="Calibri"/>
          <w:b/>
          <w:bCs/>
          <w:snapToGrid w:val="0"/>
          <w:sz w:val="24"/>
          <w:szCs w:val="24"/>
          <w:highlight w:val="none"/>
          <w:lang w:val="en-US" w:eastAsia="zh-CN"/>
        </w:rPr>
      </w:pPr>
      <w:r>
        <w:rPr>
          <w:rFonts w:hint="eastAsia" w:ascii="Calibri" w:hAnsi="Calibri" w:cs="Calibri"/>
          <w:b/>
          <w:bCs/>
          <w:snapToGrid w:val="0"/>
          <w:sz w:val="24"/>
          <w:szCs w:val="24"/>
          <w:highlight w:val="none"/>
          <w:lang w:eastAsia="zh-CN"/>
        </w:rPr>
        <w:t>本项目采用</w:t>
      </w:r>
      <w:r>
        <w:rPr>
          <w:rFonts w:hint="eastAsia" w:ascii="Calibri" w:hAnsi="Calibri" w:cs="Calibri"/>
          <w:b/>
          <w:bCs/>
          <w:snapToGrid w:val="0"/>
          <w:sz w:val="24"/>
          <w:szCs w:val="24"/>
          <w:highlight w:val="none"/>
          <w:u w:val="single"/>
          <w:lang w:val="en-US" w:eastAsia="zh-CN"/>
        </w:rPr>
        <w:t xml:space="preserve">   最低评标价法   </w:t>
      </w:r>
      <w:r>
        <w:rPr>
          <w:rFonts w:hint="eastAsia" w:ascii="Calibri" w:hAnsi="Calibri" w:cs="Calibri"/>
          <w:b/>
          <w:bCs/>
          <w:snapToGrid w:val="0"/>
          <w:sz w:val="24"/>
          <w:szCs w:val="24"/>
          <w:highlight w:val="none"/>
          <w:lang w:val="en-US" w:eastAsia="zh-CN"/>
        </w:rPr>
        <w:t>的评审方法。</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eastAsia="zh-CN"/>
        </w:rPr>
      </w:pPr>
      <w:r>
        <w:rPr>
          <w:rFonts w:hint="eastAsia" w:ascii="Times New Roman" w:hAnsi="Times New Roman"/>
          <w:b w:val="0"/>
          <w:bCs w:val="0"/>
          <w:sz w:val="24"/>
          <w:highlight w:val="none"/>
          <w:lang w:eastAsia="zh-CN"/>
        </w:rPr>
        <w:t>评审步骤如下：</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确认最终报价</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最通过符合性评审的响应单位的最终报价进行确认，经过谈判后有提供最后报价的，以最后报价为准。</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价格调整</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如响应文件中报价有错误，</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将对价格进行调整，调整原则如下：</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总价与单价不一致，按照本文件第一章第4.1条“报价不一致评判标准”调整价格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报价漏项，按照本文件第一章4.2“报价漏项”调整价格</w:t>
      </w:r>
    </w:p>
    <w:p>
      <w:pPr>
        <w:keepNext w:val="0"/>
        <w:keepLines w:val="0"/>
        <w:pageBreakBefore w:val="0"/>
        <w:numPr>
          <w:ilvl w:val="0"/>
          <w:numId w:val="9"/>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按照本文件第一章4.3“非</w:t>
      </w:r>
      <w:r>
        <w:rPr>
          <w:rFonts w:hint="eastAsia" w:ascii="宋体" w:hAnsi="宋体"/>
          <w:sz w:val="24"/>
          <w:highlight w:val="none"/>
          <w:vertAlign w:val="baseline"/>
          <w:lang w:val="en-US" w:eastAsia="zh-CN"/>
        </w:rPr>
        <w:t>“*”号项条款不响应</w:t>
      </w:r>
      <w:r>
        <w:rPr>
          <w:rFonts w:hint="eastAsia" w:ascii="Times New Roman" w:hAnsi="Times New Roman"/>
          <w:b w:val="0"/>
          <w:bCs w:val="0"/>
          <w:sz w:val="24"/>
          <w:highlight w:val="none"/>
          <w:lang w:val="en-US" w:eastAsia="zh-CN"/>
        </w:rPr>
        <w:t>”调整价格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确认评标价格</w:t>
      </w:r>
    </w:p>
    <w:p>
      <w:pPr>
        <w:keepNext w:val="0"/>
        <w:keepLines w:val="0"/>
        <w:pageBreakBefore w:val="0"/>
        <w:numPr>
          <w:ilvl w:val="0"/>
          <w:numId w:val="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认定通过符合性评审的、经过价格调整的响应单位的最终价格为评标价格，经过谈判后有提供最后报价的，以最后报价为评标价格。</w:t>
      </w:r>
    </w:p>
    <w:p>
      <w:pPr>
        <w:keepNext w:val="0"/>
        <w:keepLines w:val="0"/>
        <w:pageBreakBefore w:val="0"/>
        <w:numPr>
          <w:ilvl w:val="0"/>
          <w:numId w:val="8"/>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推荐成交候选人</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b w:val="0"/>
          <w:bCs w:val="0"/>
          <w:sz w:val="24"/>
          <w:highlight w:val="none"/>
          <w:lang w:eastAsia="zh-CN"/>
        </w:rPr>
        <w:t>供应商选择工作小组</w:t>
      </w:r>
      <w:r>
        <w:rPr>
          <w:rFonts w:hint="eastAsia" w:ascii="Times New Roman" w:hAnsi="Times New Roman"/>
          <w:b w:val="0"/>
          <w:bCs w:val="0"/>
          <w:sz w:val="24"/>
          <w:highlight w:val="none"/>
          <w:lang w:eastAsia="zh-CN"/>
        </w:rPr>
        <w:t>根据评标价格，按价格由低到高推荐</w:t>
      </w:r>
      <w:r>
        <w:rPr>
          <w:rFonts w:hint="eastAsia" w:ascii="Times New Roman" w:hAnsi="Times New Roman"/>
          <w:b w:val="0"/>
          <w:bCs w:val="0"/>
          <w:sz w:val="24"/>
          <w:highlight w:val="none"/>
          <w:lang w:val="en-US" w:eastAsia="zh-CN"/>
        </w:rPr>
        <w:t>2-3名成交候选人，</w:t>
      </w:r>
      <w:r>
        <w:rPr>
          <w:rFonts w:hint="eastAsia" w:ascii="Times New Roman" w:hAnsi="Times New Roman"/>
          <w:b w:val="0"/>
          <w:bCs w:val="0"/>
          <w:sz w:val="24"/>
          <w:highlight w:val="none"/>
          <w:lang w:eastAsia="zh-CN"/>
        </w:rPr>
        <w:t>有以下特殊情况时，按照下述情况处理：</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当出现2家以上的评标价格相同时，由</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通过讨论确定排序。</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当最终评审时仅有1家响应单位时，</w:t>
      </w:r>
      <w:r>
        <w:rPr>
          <w:rFonts w:hint="eastAsia"/>
          <w:sz w:val="24"/>
          <w:highlight w:val="none"/>
        </w:rPr>
        <w:t>如评标价格为最低价或</w:t>
      </w:r>
      <w:r>
        <w:rPr>
          <w:rFonts w:hint="eastAsia"/>
          <w:sz w:val="24"/>
          <w:highlight w:val="none"/>
          <w:lang w:eastAsia="zh-CN"/>
        </w:rPr>
        <w:t>非最低价但技术能力较优</w:t>
      </w:r>
      <w:r>
        <w:rPr>
          <w:rFonts w:hint="eastAsia" w:ascii="Times New Roman" w:hAnsi="Times New Roman"/>
          <w:b w:val="0"/>
          <w:bCs w:val="0"/>
          <w:sz w:val="24"/>
          <w:highlight w:val="none"/>
          <w:lang w:val="en-US" w:eastAsia="zh-CN"/>
        </w:rPr>
        <w:t>，则可推荐为成交候选人。其余情况，</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应当认为本项目竞争性不足，不推荐成交候选人。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认为所有评标价格均较高时，可以不推荐成交候选人。</w:t>
      </w:r>
    </w:p>
    <w:p>
      <w:pPr>
        <w:keepNext w:val="0"/>
        <w:keepLines w:val="0"/>
        <w:pageBreakBefore w:val="0"/>
        <w:numPr>
          <w:ilvl w:val="0"/>
          <w:numId w:val="10"/>
        </w:numPr>
        <w:kinsoku/>
        <w:overflowPunct/>
        <w:topLinePunct w:val="0"/>
        <w:bidi w:val="0"/>
        <w:spacing w:line="400" w:lineRule="exact"/>
        <w:ind w:firstLine="480" w:firstLineChars="200"/>
        <w:textAlignment w:val="auto"/>
        <w:outlineLvl w:val="9"/>
        <w:rPr>
          <w:rFonts w:hint="eastAsia" w:ascii="Times New Roman" w:hAnsi="Times New Roman"/>
          <w:b w:val="0"/>
          <w:bCs w:val="0"/>
          <w:sz w:val="24"/>
          <w:highlight w:val="none"/>
          <w:lang w:val="en-US" w:eastAsia="zh-CN"/>
        </w:rPr>
      </w:pPr>
      <w:r>
        <w:rPr>
          <w:rFonts w:hint="eastAsia" w:ascii="Times New Roman" w:hAnsi="Times New Roman"/>
          <w:b w:val="0"/>
          <w:bCs w:val="0"/>
          <w:sz w:val="24"/>
          <w:highlight w:val="none"/>
          <w:lang w:val="en-US" w:eastAsia="zh-CN"/>
        </w:rPr>
        <w:t>当最低评标价格低于其他有效响应单位的评标价格算术平均数的</w:t>
      </w:r>
      <w:r>
        <w:rPr>
          <w:rFonts w:hint="eastAsia" w:ascii="Times New Roman" w:hAnsi="Times New Roman"/>
          <w:b w:val="0"/>
          <w:bCs w:val="0"/>
          <w:sz w:val="24"/>
          <w:highlight w:val="none"/>
          <w:u w:val="single"/>
          <w:lang w:val="en-US" w:eastAsia="zh-CN"/>
        </w:rPr>
        <w:t>50</w:t>
      </w:r>
      <w:r>
        <w:rPr>
          <w:rFonts w:hint="eastAsia" w:ascii="Times New Roman" w:hAnsi="Times New Roman"/>
          <w:b w:val="0"/>
          <w:bCs w:val="0"/>
          <w:sz w:val="24"/>
          <w:highlight w:val="none"/>
          <w:u w:val="none"/>
          <w:lang w:val="en-US" w:eastAsia="zh-CN"/>
        </w:rPr>
        <w:t>%</w:t>
      </w:r>
      <w:r>
        <w:rPr>
          <w:rFonts w:hint="eastAsia" w:ascii="Times New Roman" w:hAnsi="Times New Roman"/>
          <w:b w:val="0"/>
          <w:bCs w:val="0"/>
          <w:sz w:val="24"/>
          <w:highlight w:val="none"/>
          <w:lang w:val="en-US" w:eastAsia="zh-CN"/>
        </w:rPr>
        <w:t>时，</w:t>
      </w:r>
      <w:r>
        <w:rPr>
          <w:rFonts w:hint="eastAsia"/>
          <w:b w:val="0"/>
          <w:bCs w:val="0"/>
          <w:sz w:val="24"/>
          <w:highlight w:val="none"/>
          <w:lang w:val="en-US" w:eastAsia="zh-CN"/>
        </w:rPr>
        <w:t>供应商选择工作小组</w:t>
      </w:r>
      <w:r>
        <w:rPr>
          <w:rFonts w:hint="eastAsia" w:ascii="Times New Roman" w:hAnsi="Times New Roman"/>
          <w:b w:val="0"/>
          <w:bCs w:val="0"/>
          <w:sz w:val="24"/>
          <w:highlight w:val="none"/>
          <w:lang w:val="en-US" w:eastAsia="zh-CN"/>
        </w:rPr>
        <w:t>应当要求该供应商作出书面说明并提供相关证明材料。该供应商不能合理说明或不能提供相关证明材料的，视作该响应报价无效。</w:t>
      </w:r>
    </w:p>
    <w:p>
      <w:pPr>
        <w:keepNext w:val="0"/>
        <w:keepLines w:val="0"/>
        <w:pageBreakBefore w:val="0"/>
        <w:widowControl w:val="0"/>
        <w:numPr>
          <w:ilvl w:val="0"/>
          <w:numId w:val="7"/>
        </w:numPr>
        <w:kinsoku/>
        <w:wordWrap/>
        <w:overflowPunct/>
        <w:topLinePunct w:val="0"/>
        <w:autoSpaceDE/>
        <w:autoSpaceDN/>
        <w:bidi w:val="0"/>
        <w:adjustRightInd/>
        <w:snapToGrid/>
        <w:spacing w:before="159" w:beforeLines="50" w:after="159" w:afterLines="50" w:line="400" w:lineRule="exact"/>
        <w:ind w:left="0" w:leftChars="0" w:firstLine="420" w:firstLineChars="0"/>
        <w:textAlignment w:val="auto"/>
        <w:outlineLvl w:val="9"/>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确定成交供应商</w:t>
      </w:r>
    </w:p>
    <w:p>
      <w:pPr>
        <w:keepNext w:val="0"/>
        <w:keepLines w:val="0"/>
        <w:pageBreakBefore w:val="0"/>
        <w:kinsoku/>
        <w:overflowPunct/>
        <w:topLinePunct w:val="0"/>
        <w:bidi w:val="0"/>
        <w:spacing w:line="400" w:lineRule="exact"/>
        <w:ind w:firstLine="480" w:firstLineChars="200"/>
        <w:textAlignment w:val="auto"/>
        <w:outlineLvl w:val="9"/>
        <w:rPr>
          <w:rFonts w:hint="eastAsia" w:ascii="Times New Roman" w:hAnsi="Times New Roman" w:eastAsia="宋体"/>
          <w:b w:val="0"/>
          <w:bCs w:val="0"/>
          <w:sz w:val="24"/>
          <w:highlight w:val="none"/>
          <w:lang w:eastAsia="zh-CN"/>
        </w:rPr>
      </w:pPr>
      <w:r>
        <w:rPr>
          <w:rFonts w:hint="eastAsia"/>
          <w:b w:val="0"/>
          <w:bCs w:val="0"/>
          <w:sz w:val="24"/>
          <w:highlight w:val="none"/>
          <w:lang w:eastAsia="zh-CN"/>
        </w:rPr>
        <w:t>供应商选择工作小组</w:t>
      </w:r>
      <w:r>
        <w:rPr>
          <w:rFonts w:hint="eastAsia" w:ascii="Times New Roman" w:hAnsi="Times New Roman"/>
          <w:b w:val="0"/>
          <w:bCs w:val="0"/>
          <w:sz w:val="24"/>
          <w:highlight w:val="none"/>
          <w:lang w:eastAsia="zh-CN"/>
        </w:rPr>
        <w:t>根据成交候选人名单，确定排名第</w:t>
      </w:r>
      <w:r>
        <w:rPr>
          <w:rFonts w:hint="eastAsia" w:ascii="Times New Roman" w:hAnsi="Times New Roman"/>
          <w:b w:val="0"/>
          <w:bCs w:val="0"/>
          <w:sz w:val="24"/>
          <w:highlight w:val="none"/>
          <w:lang w:val="en-US" w:eastAsia="zh-CN"/>
        </w:rPr>
        <w:t>1的供应商为成交供应商。</w:t>
      </w:r>
    </w:p>
    <w:p>
      <w:pPr>
        <w:keepNext w:val="0"/>
        <w:keepLines w:val="0"/>
        <w:pageBreakBefore w:val="0"/>
        <w:kinsoku/>
        <w:overflowPunct/>
        <w:topLinePunct w:val="0"/>
        <w:bidi w:val="0"/>
        <w:spacing w:line="440" w:lineRule="exact"/>
        <w:ind w:firstLine="630" w:firstLineChars="300"/>
        <w:textAlignment w:val="auto"/>
        <w:outlineLvl w:val="9"/>
        <w:rPr>
          <w:rFonts w:ascii="宋体" w:hAnsi="宋体"/>
          <w:szCs w:val="21"/>
          <w:highlight w:val="none"/>
        </w:rPr>
      </w:pPr>
    </w:p>
    <w:p>
      <w:pPr>
        <w:keepNext w:val="0"/>
        <w:keepLines w:val="0"/>
        <w:pageBreakBefore w:val="0"/>
        <w:kinsoku/>
        <w:overflowPunct/>
        <w:topLinePunct w:val="0"/>
        <w:bidi w:val="0"/>
        <w:adjustRightInd w:val="0"/>
        <w:snapToGrid w:val="0"/>
        <w:spacing w:line="360" w:lineRule="auto"/>
        <w:jc w:val="center"/>
        <w:textAlignment w:val="auto"/>
        <w:outlineLvl w:val="9"/>
        <w:rPr>
          <w:rFonts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ascii="宋体" w:hAnsi="宋体"/>
          <w:kern w:val="44"/>
          <w:szCs w:val="21"/>
          <w:highlight w:val="none"/>
        </w:rPr>
        <w:br w:type="page"/>
      </w:r>
      <w:bookmarkStart w:id="13" w:name="_Toc742_WPSOffice_Level1"/>
      <w:r>
        <w:rPr>
          <w:rFonts w:hint="eastAsia" w:ascii="方正小标宋简体" w:hAnsi="方正小标宋简体" w:eastAsia="方正小标宋简体" w:cs="方正小标宋简体"/>
          <w:b/>
          <w:bCs w:val="0"/>
          <w:color w:val="000000"/>
          <w:sz w:val="36"/>
          <w:szCs w:val="36"/>
          <w:highlight w:val="none"/>
          <w:lang w:eastAsia="zh-CN"/>
        </w:rPr>
        <w:t>第四</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商务要求</w:t>
      </w:r>
      <w:bookmarkEnd w:id="13"/>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本章使用的条款为带“</w:t>
      </w:r>
      <w:r>
        <w:rPr>
          <w:rFonts w:hint="eastAsia" w:ascii="宋体" w:hAnsi="宋体"/>
          <w:sz w:val="24"/>
          <w:highlight w:val="none"/>
          <w:u w:val="single"/>
          <w:lang w:eastAsia="zh-CN"/>
        </w:rPr>
        <w:t>☑</w:t>
      </w:r>
      <w:r>
        <w:rPr>
          <w:rFonts w:hint="eastAsia" w:ascii="黑体" w:hAnsi="黑体" w:eastAsia="黑体" w:cs="黑体"/>
          <w:b/>
          <w:bCs/>
          <w:sz w:val="28"/>
          <w:szCs w:val="36"/>
          <w:highlight w:val="none"/>
          <w:u w:val="single"/>
          <w:lang w:eastAsia="zh-CN"/>
        </w:rPr>
        <w:t>”的条款，响应单位应提供相应的证明文件。如提供的是打印件或复印件，需法定代表人或其授权代表签字或加盖公章。</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本章序号标注“*”号的均为关键商务条款，对这些条款的不响应将导致响应文件被否决。</w:t>
      </w:r>
    </w:p>
    <w:tbl>
      <w:tblPr>
        <w:tblStyle w:val="34"/>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序号</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内容</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sz w:val="24"/>
                <w:highlight w:val="none"/>
                <w:vertAlign w:val="baseline"/>
                <w:lang w:eastAsia="zh-CN"/>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1</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营业执照</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应提供最新年检的营业执照</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Times New Roman" w:hAnsi="Times New Roman"/>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 xml:space="preserve">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2</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注册资金</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5" w:leftChars="102" w:hanging="11" w:firstLineChars="0"/>
              <w:jc w:val="left"/>
              <w:textAlignment w:val="auto"/>
              <w:outlineLvl w:val="9"/>
              <w:rPr>
                <w:rFonts w:hint="eastAsia" w:ascii="Times New Roman" w:hAnsi="Times New Roman"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响应单位注册资金不低于</w:t>
            </w:r>
            <w:r>
              <w:rPr>
                <w:rFonts w:hint="eastAsia" w:ascii="宋体" w:hAnsi="宋体"/>
                <w:b w:val="0"/>
                <w:bCs w:val="0"/>
                <w:sz w:val="24"/>
                <w:highlight w:val="none"/>
                <w:u w:val="single"/>
                <w:lang w:val="en-US" w:eastAsia="zh-CN"/>
              </w:rPr>
              <w:t>100</w:t>
            </w:r>
            <w:r>
              <w:rPr>
                <w:rFonts w:hint="eastAsia" w:ascii="宋体" w:hAnsi="宋体"/>
                <w:b w:val="0"/>
                <w:bCs w:val="0"/>
                <w:sz w:val="24"/>
                <w:highlight w:val="none"/>
                <w:u w:val="none"/>
                <w:lang w:val="en-US" w:eastAsia="zh-CN"/>
              </w:rPr>
              <w:t>万元，营业执照无法体现的，需提供额外证明材料或承诺函。</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427" w:leftChars="103" w:hanging="211" w:hangingChars="88"/>
              <w:jc w:val="left"/>
              <w:textAlignment w:val="auto"/>
              <w:outlineLvl w:val="9"/>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3</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sz w:val="24"/>
                <w:highlight w:val="none"/>
                <w:vertAlign w:val="baseline"/>
                <w:lang w:val="en-US" w:eastAsia="zh-CN"/>
              </w:rPr>
              <w:t>财务状况</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宋体" w:hAnsi="宋体"/>
                <w:sz w:val="24"/>
                <w:highlight w:val="none"/>
              </w:rPr>
              <w:t>提供近 3  年（2022-2024）经审计的财务报</w:t>
            </w:r>
            <w:r>
              <w:rPr>
                <w:rFonts w:hint="eastAsia" w:ascii="宋体" w:hAnsi="宋体"/>
                <w:sz w:val="24"/>
                <w:highlight w:val="none"/>
                <w:lang w:val="en-US" w:eastAsia="zh-CN"/>
              </w:rPr>
              <w:t>告</w:t>
            </w:r>
            <w:r>
              <w:rPr>
                <w:rFonts w:hint="eastAsia" w:ascii="宋体" w:hAnsi="宋体"/>
                <w:sz w:val="24"/>
                <w:highlight w:val="none"/>
              </w:rPr>
              <w:t>，包括资产负债表、利润表及现金流量表等（成立不足 3 年的提供自公司成立起至今的财务报表）。</w:t>
            </w:r>
          </w:p>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49" w:leftChars="104" w:hanging="31" w:hangingChars="13"/>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4</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eastAsia="zh-CN"/>
              </w:rPr>
            </w:pPr>
            <w:r>
              <w:rPr>
                <w:rFonts w:hint="eastAsia" w:ascii="宋体" w:hAnsi="宋体" w:eastAsia="宋体"/>
                <w:sz w:val="24"/>
                <w:highlight w:val="none"/>
                <w:vertAlign w:val="baseline"/>
                <w:lang w:eastAsia="zh-CN"/>
              </w:rPr>
              <w:t>业绩要求</w:t>
            </w:r>
          </w:p>
        </w:tc>
        <w:tc>
          <w:tcPr>
            <w:tcW w:w="6604" w:type="dxa"/>
            <w:vAlign w:val="center"/>
          </w:tcPr>
          <w:p>
            <w:pPr>
              <w:keepNext w:val="0"/>
              <w:keepLines w:val="0"/>
              <w:pageBreakBefore w:val="0"/>
              <w:widowControl w:val="0"/>
              <w:kinsoku/>
              <w:wordWrap/>
              <w:overflowPunct/>
              <w:topLinePunct w:val="0"/>
              <w:autoSpaceDE w:val="0"/>
              <w:autoSpaceDN w:val="0"/>
              <w:bidi w:val="0"/>
              <w:adjustRightInd/>
              <w:snapToGrid/>
              <w:spacing w:before="159" w:beforeLines="50" w:after="159" w:afterLines="50" w:line="240" w:lineRule="auto"/>
              <w:ind w:left="222" w:leftChars="103" w:hanging="6" w:firstLineChars="0"/>
              <w:jc w:val="left"/>
              <w:textAlignment w:val="auto"/>
              <w:outlineLvl w:val="9"/>
              <w:rPr>
                <w:rFonts w:hint="eastAsia" w:ascii="宋体" w:hAnsi="宋体"/>
                <w:sz w:val="24"/>
                <w:highlight w:val="none"/>
                <w:vertAlign w:val="baseline"/>
              </w:rPr>
            </w:pPr>
            <w:r>
              <w:rPr>
                <w:rFonts w:hint="eastAsia" w:ascii="宋体" w:hAnsi="宋体"/>
                <w:sz w:val="24"/>
                <w:highlight w:val="none"/>
                <w:lang w:eastAsia="zh-CN"/>
              </w:rPr>
              <w:t>☑</w:t>
            </w:r>
            <w:r>
              <w:rPr>
                <w:rFonts w:hint="eastAsia" w:ascii="宋体" w:hAnsi="宋体"/>
                <w:sz w:val="24"/>
                <w:highlight w:val="none"/>
                <w:lang w:val="en-US" w:eastAsia="zh-CN"/>
              </w:rPr>
              <w:t xml:space="preserve"> </w:t>
            </w:r>
            <w:r>
              <w:rPr>
                <w:rFonts w:hint="eastAsia" w:ascii="Times New Roman" w:hAnsi="Times New Roman"/>
                <w:sz w:val="24"/>
                <w:highlight w:val="none"/>
                <w:lang w:eastAsia="zh-CN"/>
              </w:rPr>
              <w:t>响应单位</w:t>
            </w:r>
            <w:r>
              <w:rPr>
                <w:rFonts w:ascii="Times New Roman" w:hAnsi="Times New Roman"/>
                <w:sz w:val="24"/>
                <w:highlight w:val="none"/>
              </w:rPr>
              <w:t>近</w:t>
            </w:r>
            <w:r>
              <w:rPr>
                <w:rFonts w:hint="eastAsia" w:ascii="宋体" w:hAnsi="宋体"/>
                <w:sz w:val="24"/>
                <w:highlight w:val="none"/>
                <w:u w:val="single"/>
                <w:lang w:val="en-US" w:eastAsia="zh-CN"/>
              </w:rPr>
              <w:t xml:space="preserve"> 3 </w:t>
            </w:r>
            <w:r>
              <w:rPr>
                <w:rFonts w:ascii="Times New Roman" w:hAnsi="Times New Roman"/>
                <w:sz w:val="24"/>
                <w:highlight w:val="none"/>
              </w:rPr>
              <w:t>年（</w:t>
            </w:r>
            <w:r>
              <w:rPr>
                <w:rFonts w:hint="eastAsia" w:ascii="宋体" w:hAnsi="宋体"/>
                <w:sz w:val="24"/>
                <w:highlight w:val="none"/>
                <w:u w:val="single"/>
                <w:lang w:val="en-US" w:eastAsia="zh-CN"/>
              </w:rPr>
              <w:t>2022</w:t>
            </w:r>
            <w:r>
              <w:rPr>
                <w:rFonts w:ascii="Times New Roman" w:hAnsi="Times New Roman"/>
                <w:sz w:val="24"/>
                <w:highlight w:val="none"/>
              </w:rPr>
              <w:t>年~</w:t>
            </w:r>
            <w:r>
              <w:rPr>
                <w:rFonts w:hint="eastAsia" w:ascii="宋体" w:hAnsi="宋体"/>
                <w:sz w:val="24"/>
                <w:highlight w:val="none"/>
                <w:u w:val="single"/>
                <w:lang w:val="en-US" w:eastAsia="zh-CN"/>
              </w:rPr>
              <w:t>至今</w:t>
            </w:r>
            <w:r>
              <w:rPr>
                <w:rFonts w:ascii="Times New Roman" w:hAnsi="Times New Roman"/>
                <w:sz w:val="24"/>
                <w:highlight w:val="none"/>
              </w:rPr>
              <w:t>）应有</w:t>
            </w:r>
            <w:r>
              <w:rPr>
                <w:rFonts w:hint="eastAsia" w:ascii="Times New Roman" w:hAnsi="Times New Roman"/>
                <w:sz w:val="24"/>
                <w:highlight w:val="none"/>
                <w:lang w:eastAsia="zh-CN"/>
              </w:rPr>
              <w:t>不低于</w:t>
            </w:r>
            <w:r>
              <w:rPr>
                <w:rFonts w:hint="eastAsia" w:ascii="宋体" w:hAnsi="宋体"/>
                <w:sz w:val="24"/>
                <w:highlight w:val="none"/>
                <w:u w:val="single"/>
                <w:lang w:val="en-US" w:eastAsia="zh-CN"/>
              </w:rPr>
              <w:t>1</w:t>
            </w:r>
            <w:r>
              <w:rPr>
                <w:rFonts w:hint="eastAsia" w:ascii="宋体" w:hAnsi="宋体"/>
                <w:b w:val="0"/>
                <w:bCs w:val="0"/>
                <w:sz w:val="24"/>
                <w:highlight w:val="none"/>
                <w:u w:val="none"/>
                <w:lang w:val="en-US" w:eastAsia="zh-CN"/>
              </w:rPr>
              <w:t>份与</w:t>
            </w:r>
            <w:r>
              <w:rPr>
                <w:rFonts w:ascii="Times New Roman" w:hAnsi="Times New Roman"/>
                <w:sz w:val="24"/>
                <w:highlight w:val="none"/>
              </w:rPr>
              <w:t>本次</w:t>
            </w:r>
            <w:r>
              <w:rPr>
                <w:rFonts w:hint="eastAsia" w:ascii="Times New Roman" w:hAnsi="Times New Roman"/>
                <w:sz w:val="24"/>
                <w:highlight w:val="none"/>
                <w:lang w:eastAsia="zh-CN"/>
              </w:rPr>
              <w:t>采购</w:t>
            </w:r>
            <w:r>
              <w:rPr>
                <w:rFonts w:hint="eastAsia" w:ascii="Times New Roman" w:hAnsi="Times New Roman"/>
                <w:sz w:val="24"/>
                <w:highlight w:val="none"/>
                <w:lang w:val="en-US" w:eastAsia="zh-CN"/>
              </w:rPr>
              <w:t>服务</w:t>
            </w:r>
            <w:r>
              <w:rPr>
                <w:rFonts w:ascii="Times New Roman" w:hAnsi="Times New Roman"/>
                <w:sz w:val="24"/>
                <w:highlight w:val="none"/>
              </w:rPr>
              <w:t>相同或类似</w:t>
            </w:r>
            <w:r>
              <w:rPr>
                <w:rFonts w:hint="eastAsia" w:ascii="Times New Roman" w:hAnsi="Times New Roman"/>
                <w:sz w:val="24"/>
                <w:highlight w:val="none"/>
                <w:lang w:val="en-US" w:eastAsia="zh-CN"/>
              </w:rPr>
              <w:t>的</w:t>
            </w:r>
            <w:r>
              <w:rPr>
                <w:rFonts w:ascii="Times New Roman" w:hAnsi="Times New Roman"/>
                <w:sz w:val="24"/>
                <w:highlight w:val="none"/>
              </w:rPr>
              <w:t>业绩，提供合同复印件作为证明材料（合同复印件须能认定签署日期、</w:t>
            </w:r>
            <w:r>
              <w:rPr>
                <w:rFonts w:hint="eastAsia" w:ascii="Times New Roman" w:hAnsi="Times New Roman"/>
                <w:sz w:val="24"/>
                <w:highlight w:val="none"/>
                <w:lang w:val="en-US" w:eastAsia="zh-CN"/>
              </w:rPr>
              <w:t>服务</w:t>
            </w:r>
            <w:r>
              <w:rPr>
                <w:rFonts w:ascii="Times New Roman" w:hAnsi="Times New Roman"/>
                <w:sz w:val="24"/>
                <w:highlight w:val="none"/>
              </w:rPr>
              <w:t>内容、合同签订方，否则将作为无效证明材料）</w:t>
            </w:r>
            <w:r>
              <w:rPr>
                <w:rFonts w:hint="eastAsia" w:ascii="Times New Roman" w:hAnsi="Times New Roman"/>
                <w:sz w:val="24"/>
                <w:highlight w:val="none"/>
                <w:lang w:eastAsia="zh-CN"/>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*5</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付款条款</w:t>
            </w:r>
          </w:p>
        </w:tc>
        <w:tc>
          <w:tcPr>
            <w:tcW w:w="6604" w:type="dxa"/>
            <w:vAlign w:val="center"/>
          </w:tcPr>
          <w:p>
            <w:pPr>
              <w:pStyle w:val="3"/>
              <w:numPr>
                <w:ilvl w:val="0"/>
                <w:numId w:val="0"/>
              </w:numPr>
              <w:spacing w:after="0"/>
              <w:ind w:left="216" w:leftChars="103" w:firstLine="2" w:firstLineChars="0"/>
              <w:jc w:val="both"/>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按以下模式一次性付款：</w:t>
            </w:r>
          </w:p>
          <w:p>
            <w:pPr>
              <w:pStyle w:val="3"/>
              <w:numPr>
                <w:ilvl w:val="0"/>
                <w:numId w:val="0"/>
              </w:numPr>
              <w:spacing w:after="0"/>
              <w:ind w:left="420" w:leftChars="0" w:firstLine="480" w:firstLineChars="200"/>
              <w:jc w:val="both"/>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验收合格并收到成交单位按客服公司要求开具的真实合法有效的发票后一次性支付全部款项。</w:t>
            </w:r>
          </w:p>
          <w:p>
            <w:pPr>
              <w:pStyle w:val="3"/>
              <w:spacing w:after="0"/>
              <w:ind w:left="647" w:leftChars="104" w:hanging="429" w:hangingChars="178"/>
              <w:jc w:val="left"/>
              <w:rPr>
                <w:rFonts w:hint="eastAsia" w:ascii="宋体" w:hAnsi="宋体"/>
                <w:b w:val="0"/>
                <w:bCs w:val="0"/>
                <w:kern w:val="2"/>
                <w:sz w:val="24"/>
                <w:szCs w:val="24"/>
                <w:highlight w:val="none"/>
                <w:lang w:val="en-US" w:eastAsia="zh-CN" w:bidi="ar-SA"/>
              </w:rPr>
            </w:pPr>
            <w:r>
              <w:rPr>
                <w:rFonts w:hint="eastAsia" w:ascii="宋体" w:hAnsi="宋体"/>
                <w:b/>
                <w:bCs/>
                <w:kern w:val="2"/>
                <w:sz w:val="24"/>
                <w:szCs w:val="24"/>
                <w:highlight w:val="none"/>
                <w:lang w:val="en-US" w:eastAsia="zh-CN" w:bidi="ar-SA"/>
              </w:rPr>
              <w:t>□ 按以下模式分期付款（适用于非一次性付款的工装类货物）</w:t>
            </w:r>
          </w:p>
          <w:p>
            <w:pPr>
              <w:pStyle w:val="3"/>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预付款：人民币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元，客服公司应于本合同生效日起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日内支付，成交单位在收到款项之日起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日内开具预付款收据。</w:t>
            </w:r>
          </w:p>
          <w:p>
            <w:pPr>
              <w:pStyle w:val="3"/>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元，成交单位应于工装完成预验收并收到客服公司提供的设备预验收报告后向客服公司开具累计至第二期付款金额的真实合法有效的发票，客服公司在收到发票之日起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日内支付。[注：第二期付款是预验收款，如无需预验收则可视情况删除]</w:t>
            </w:r>
          </w:p>
          <w:p>
            <w:pPr>
              <w:pStyle w:val="3"/>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第三期付款：人民币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元，成交单位应于工装验收合格之日起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日内按客服公司要求开具合同剩余金额的真实合法有效的发票，客服公司在收到发票之日起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pStyle w:val="3"/>
              <w:numPr>
                <w:ilvl w:val="0"/>
                <w:numId w:val="12"/>
              </w:numPr>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第四期付款：人民币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元，客服公司于工装质保期期满之日起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16" w:leftChars="103" w:firstLine="2" w:firstLineChars="0"/>
              <w:textAlignment w:val="auto"/>
              <w:outlineLvl w:val="9"/>
              <w:rPr>
                <w:rFonts w:hint="eastAsia" w:ascii="宋体" w:hAnsi="宋体"/>
                <w:b w:val="0"/>
                <w:bCs w:val="0"/>
                <w:kern w:val="2"/>
                <w:sz w:val="24"/>
                <w:szCs w:val="24"/>
                <w:highlight w:val="none"/>
                <w:lang w:val="en-US" w:eastAsia="zh-CN" w:bidi="ar-SA"/>
              </w:rPr>
            </w:pPr>
            <w:r>
              <w:rPr>
                <w:rFonts w:hint="eastAsia" w:ascii="宋体" w:hAnsi="宋体"/>
                <w:b/>
                <w:bCs/>
                <w:sz w:val="24"/>
                <w:highlight w:val="none"/>
              </w:rPr>
              <w:t>□</w:t>
            </w:r>
            <w:r>
              <w:rPr>
                <w:rFonts w:hint="eastAsia" w:ascii="宋体" w:hAnsi="宋体"/>
                <w:b/>
                <w:bCs/>
                <w:sz w:val="24"/>
                <w:highlight w:val="none"/>
                <w:lang w:val="en-US" w:eastAsia="zh-CN"/>
              </w:rPr>
              <w:t xml:space="preserve"> </w:t>
            </w:r>
            <w:r>
              <w:rPr>
                <w:rFonts w:hint="eastAsia" w:ascii="宋体" w:hAnsi="宋体"/>
                <w:b/>
                <w:bCs/>
                <w:kern w:val="2"/>
                <w:sz w:val="24"/>
                <w:szCs w:val="24"/>
                <w:highlight w:val="none"/>
                <w:lang w:val="en-US" w:eastAsia="zh-CN" w:bidi="ar-SA"/>
              </w:rPr>
              <w:t>按以下模式分期付款（适用于非一次性付款的设备类货物）</w:t>
            </w:r>
          </w:p>
          <w:p>
            <w:pPr>
              <w:pStyle w:val="3"/>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第一期付款：预付款人民币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元，客服公司应于本合同生效日起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日内支付，成交单位在收到款项之日起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日内开具预付款收据。</w:t>
            </w:r>
          </w:p>
          <w:p>
            <w:pPr>
              <w:pStyle w:val="3"/>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元，成交单位应于设备完成预验收并收到甲方提供的设备预验收报告后向客服公司开具累计至第二期付款金额的发票，客服公司在收到发票之日起</w:t>
            </w:r>
            <w:r>
              <w:rPr>
                <w:rFonts w:hint="eastAsia" w:ascii="宋体" w:hAnsi="宋体"/>
                <w:b w:val="0"/>
                <w:bCs w:val="0"/>
                <w:kern w:val="2"/>
                <w:sz w:val="24"/>
                <w:szCs w:val="24"/>
                <w:highlight w:val="none"/>
                <w:u w:val="single"/>
                <w:lang w:val="en-US" w:eastAsia="zh-CN" w:bidi="ar-SA"/>
              </w:rPr>
              <w:t xml:space="preserve">   </w:t>
            </w:r>
            <w:r>
              <w:rPr>
                <w:rFonts w:hint="eastAsia" w:ascii="宋体" w:hAnsi="宋体"/>
                <w:b w:val="0"/>
                <w:bCs w:val="0"/>
                <w:kern w:val="2"/>
                <w:sz w:val="24"/>
                <w:szCs w:val="24"/>
                <w:highlight w:val="none"/>
                <w:lang w:val="en-US" w:eastAsia="zh-CN" w:bidi="ar-SA"/>
              </w:rPr>
              <w:t>日内支付。</w:t>
            </w:r>
          </w:p>
          <w:p>
            <w:pPr>
              <w:pStyle w:val="3"/>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第三期付款：人民币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元，成交单位应于设备验收合格之日起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日内按客服公司要求开具合同剩余金额的发票,客服公司收到发票之日起</w:t>
            </w:r>
            <w:r>
              <w:rPr>
                <w:rFonts w:hint="eastAsia" w:ascii="宋体" w:hAnsi="宋体"/>
                <w:b w:val="0"/>
                <w:bCs w:val="0"/>
                <w:kern w:val="2"/>
                <w:sz w:val="24"/>
                <w:szCs w:val="24"/>
                <w:highlight w:val="none"/>
                <w:u w:val="single"/>
                <w:lang w:val="en-US" w:eastAsia="zh-CN" w:bidi="ar-SA"/>
              </w:rPr>
              <w:t xml:space="preserve">   </w:t>
            </w:r>
            <w:r>
              <w:rPr>
                <w:rFonts w:hint="eastAsia" w:ascii="宋体" w:hAnsi="宋体"/>
                <w:b w:val="0"/>
                <w:bCs w:val="0"/>
                <w:kern w:val="2"/>
                <w:sz w:val="24"/>
                <w:szCs w:val="24"/>
                <w:highlight w:val="none"/>
                <w:lang w:val="en-US" w:eastAsia="zh-CN" w:bidi="ar-SA"/>
              </w:rPr>
              <w:t>日内支付。</w:t>
            </w:r>
          </w:p>
          <w:p>
            <w:pPr>
              <w:pStyle w:val="3"/>
              <w:numPr>
                <w:ilvl w:val="0"/>
                <w:numId w:val="13"/>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第四期付款：人民币</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元，客服公司于设备质保期期满之日起</w:t>
            </w:r>
            <w:r>
              <w:rPr>
                <w:rFonts w:hint="eastAsia" w:ascii="宋体" w:hAnsi="宋体"/>
                <w:sz w:val="24"/>
                <w:highlight w:val="none"/>
                <w:u w:val="single"/>
                <w:lang w:val="en-US" w:eastAsia="zh-CN"/>
              </w:rPr>
              <w:t xml:space="preserve">    </w:t>
            </w:r>
            <w:r>
              <w:rPr>
                <w:rFonts w:hint="eastAsia" w:ascii="宋体" w:hAnsi="宋体"/>
                <w:b w:val="0"/>
                <w:bCs w:val="0"/>
                <w:kern w:val="2"/>
                <w:sz w:val="24"/>
                <w:szCs w:val="24"/>
                <w:highlight w:val="none"/>
                <w:lang w:val="en-US" w:eastAsia="zh-CN" w:bidi="ar-SA"/>
              </w:rPr>
              <w:t>日内支付。</w:t>
            </w:r>
          </w:p>
          <w:p>
            <w:pPr>
              <w:ind w:firstLine="241" w:firstLineChars="100"/>
              <w:rPr>
                <w:rFonts w:hint="eastAsia" w:ascii="宋体" w:hAnsi="宋体"/>
                <w:b/>
                <w:bCs/>
                <w:kern w:val="2"/>
                <w:sz w:val="24"/>
                <w:szCs w:val="24"/>
                <w:highlight w:val="none"/>
                <w:lang w:val="en-US" w:eastAsia="zh-CN" w:bidi="ar-SA"/>
              </w:rPr>
            </w:pPr>
            <w:r>
              <w:rPr>
                <w:rFonts w:hint="eastAsia" w:ascii="宋体" w:hAnsi="宋体"/>
                <w:b/>
                <w:bCs/>
                <w:sz w:val="24"/>
                <w:highlight w:val="none"/>
                <w:lang w:eastAsia="zh-CN"/>
              </w:rPr>
              <w:t>☑</w:t>
            </w:r>
            <w:r>
              <w:rPr>
                <w:rFonts w:hint="eastAsia" w:ascii="宋体" w:hAnsi="宋体"/>
                <w:b/>
                <w:bCs/>
                <w:sz w:val="24"/>
                <w:highlight w:val="none"/>
                <w:lang w:val="en-US" w:eastAsia="zh-CN"/>
              </w:rPr>
              <w:t xml:space="preserve"> </w:t>
            </w:r>
            <w:r>
              <w:rPr>
                <w:rFonts w:hint="eastAsia" w:ascii="宋体" w:hAnsi="宋体"/>
                <w:b/>
                <w:bCs/>
                <w:kern w:val="2"/>
                <w:sz w:val="24"/>
                <w:szCs w:val="24"/>
                <w:highlight w:val="none"/>
                <w:lang w:val="en-US" w:eastAsia="zh-CN" w:bidi="ar-SA"/>
              </w:rPr>
              <w:t>按以下模式分期付款(适用于库房租赁)</w:t>
            </w:r>
          </w:p>
          <w:p>
            <w:pPr>
              <w:pStyle w:val="3"/>
              <w:numPr>
                <w:ilvl w:val="0"/>
                <w:numId w:val="0"/>
              </w:numPr>
              <w:spacing w:after="0"/>
              <w:ind w:left="718" w:leftChars="342" w:firstLine="0" w:firstLineChars="0"/>
              <w:jc w:val="left"/>
              <w:rPr>
                <w:rFonts w:hint="default" w:ascii="宋体" w:hAnsi="宋体"/>
                <w:b w:val="0"/>
                <w:bCs w:val="0"/>
                <w:kern w:val="2"/>
                <w:sz w:val="24"/>
                <w:szCs w:val="24"/>
                <w:highlight w:val="none"/>
                <w:u w:val="none"/>
                <w:lang w:val="en-US" w:eastAsia="zh-CN" w:bidi="ar-SA"/>
              </w:rPr>
            </w:pPr>
            <w:r>
              <w:rPr>
                <w:rFonts w:hint="eastAsia" w:ascii="宋体" w:hAnsi="宋体"/>
                <w:b w:val="0"/>
                <w:bCs w:val="0"/>
                <w:kern w:val="2"/>
                <w:sz w:val="24"/>
                <w:szCs w:val="24"/>
                <w:highlight w:val="none"/>
                <w:u w:val="none"/>
                <w:lang w:val="en-US" w:eastAsia="zh-CN" w:bidi="ar-SA"/>
              </w:rPr>
              <w:t>客服公司向成交单位支付的费用应每满六个月结算一次，客服公司应在租赁期每满六个月后收到成交单位对应金额的增值税专用发票后30个工作日内完成付款。</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 xml:space="preserve">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val="en-US" w:eastAsia="zh-CN"/>
              </w:rPr>
            </w:pP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p>
        </w:tc>
        <w:tc>
          <w:tcPr>
            <w:tcW w:w="6604" w:type="dxa"/>
            <w:vAlign w:val="center"/>
          </w:tcPr>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b/>
                <w:bCs/>
                <w:sz w:val="24"/>
                <w:highlight w:val="none"/>
                <w:lang w:val="en-US" w:eastAsia="zh-CN"/>
              </w:rPr>
            </w:pPr>
            <w:r>
              <w:rPr>
                <w:rFonts w:hint="eastAsia" w:ascii="宋体" w:hAnsi="宋体"/>
                <w:b/>
                <w:bCs/>
                <w:sz w:val="24"/>
                <w:highlight w:val="none"/>
                <w:lang w:val="en-US" w:eastAsia="zh-CN"/>
              </w:rPr>
              <w:t>上述合同付款条款，</w:t>
            </w:r>
            <w:r>
              <w:rPr>
                <w:rFonts w:hint="eastAsia" w:ascii="宋体" w:hAnsi="宋体"/>
                <w:b/>
                <w:bCs/>
                <w:kern w:val="2"/>
                <w:sz w:val="24"/>
                <w:szCs w:val="24"/>
                <w:highlight w:val="none"/>
                <w:lang w:val="en-US" w:eastAsia="zh-CN" w:bidi="ar-SA"/>
              </w:rPr>
              <w:t>根据客服公司选择，具体开票要求如下</w:t>
            </w:r>
            <w:r>
              <w:rPr>
                <w:rFonts w:hint="eastAsia" w:ascii="宋体" w:hAnsi="宋体"/>
                <w:b/>
                <w:bCs/>
                <w:sz w:val="24"/>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成交单位按含税价开具真实合法有效的增值税专用发票；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0" w:leftChars="0"/>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成交单位按不含税价开具符合要求的形式发票或增值税普通发票；</w:t>
            </w:r>
          </w:p>
          <w:p>
            <w:pPr>
              <w:keepNext w:val="0"/>
              <w:keepLines w:val="0"/>
              <w:pageBreakBefore w:val="0"/>
              <w:widowControl w:val="0"/>
              <w:numPr>
                <w:ilvl w:val="0"/>
                <w:numId w:val="0"/>
              </w:numPr>
              <w:kinsoku/>
              <w:wordWrap/>
              <w:overflowPunct/>
              <w:topLinePunct w:val="0"/>
              <w:bidi w:val="0"/>
              <w:adjustRightInd/>
              <w:snapToGrid/>
              <w:spacing w:before="159" w:beforeLines="50" w:after="159" w:afterLines="50" w:line="240" w:lineRule="auto"/>
              <w:ind w:left="228" w:leftChars="103" w:hanging="12" w:hangingChars="5"/>
              <w:textAlignment w:val="auto"/>
              <w:outlineLvl w:val="9"/>
              <w:rPr>
                <w:rFonts w:hint="eastAsia" w:ascii="宋体" w:hAnsi="宋体"/>
                <w:b/>
                <w:bCs/>
                <w:sz w:val="24"/>
                <w:highlight w:val="none"/>
              </w:rPr>
            </w:pPr>
            <w:r>
              <w:rPr>
                <w:rFonts w:hint="eastAsia" w:ascii="宋体" w:hAnsi="宋体"/>
                <w:sz w:val="24"/>
                <w:highlight w:val="none"/>
              </w:rPr>
              <w:t>□</w:t>
            </w:r>
            <w:r>
              <w:rPr>
                <w:rFonts w:hint="eastAsia" w:ascii="宋体" w:hAnsi="宋体"/>
                <w:sz w:val="24"/>
                <w:highlight w:val="none"/>
                <w:lang w:val="en-US" w:eastAsia="zh-CN"/>
              </w:rPr>
              <w:t xml:space="preserve">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eastAsia="宋体" w:cs="宋体"/>
                <w:sz w:val="24"/>
                <w:highlight w:val="none"/>
                <w:vertAlign w:val="baseline"/>
                <w:lang w:val="en-US" w:eastAsia="zh-CN"/>
              </w:rPr>
              <w:t>*</w:t>
            </w:r>
            <w:r>
              <w:rPr>
                <w:rFonts w:hint="eastAsia" w:ascii="宋体" w:hAnsi="宋体"/>
                <w:sz w:val="24"/>
                <w:highlight w:val="none"/>
                <w:vertAlign w:val="baseline"/>
                <w:lang w:val="en-US" w:eastAsia="zh-CN"/>
              </w:rPr>
              <w:t>6</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sz w:val="24"/>
                <w:highlight w:val="none"/>
                <w:vertAlign w:val="baseline"/>
                <w:lang w:eastAsia="zh-CN"/>
              </w:rPr>
            </w:pPr>
            <w:r>
              <w:rPr>
                <w:rFonts w:hint="eastAsia" w:ascii="宋体" w:hAnsi="宋体"/>
                <w:sz w:val="24"/>
                <w:highlight w:val="none"/>
                <w:vertAlign w:val="baseline"/>
                <w:lang w:eastAsia="zh-CN"/>
              </w:rPr>
              <w:t>报价</w:t>
            </w:r>
          </w:p>
        </w:tc>
        <w:tc>
          <w:tcPr>
            <w:tcW w:w="6604"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本项目报价应包括以下内容：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firstLine="480" w:firstLineChars="200"/>
              <w:jc w:val="left"/>
              <w:textAlignment w:val="auto"/>
              <w:outlineLvl w:val="9"/>
              <w:rPr>
                <w:rFonts w:hint="eastAsia" w:ascii="宋体" w:hAnsi="宋体"/>
                <w:sz w:val="24"/>
                <w:highlight w:val="none"/>
              </w:rPr>
            </w:pPr>
            <w:r>
              <w:rPr>
                <w:rFonts w:hint="eastAsia" w:ascii="Times New Roman" w:hAnsi="Times New Roman"/>
                <w:sz w:val="24"/>
                <w:highlight w:val="none"/>
                <w:lang w:val="en-US" w:eastAsia="zh-CN"/>
              </w:rPr>
              <w:t>__</w:t>
            </w:r>
            <w:r>
              <w:rPr>
                <w:rFonts w:hint="eastAsia" w:ascii="Times New Roman" w:hAnsi="Times New Roman"/>
                <w:sz w:val="24"/>
                <w:highlight w:val="none"/>
                <w:u w:val="single"/>
                <w:lang w:val="en-US" w:eastAsia="zh-CN"/>
              </w:rPr>
              <w:t>完成本项目的所有所需费用</w:t>
            </w:r>
            <w:r>
              <w:rPr>
                <w:rFonts w:hint="eastAsia" w:ascii="Times New Roman" w:hAnsi="Times New Roman"/>
                <w:sz w:val="24"/>
                <w:highlight w:val="none"/>
                <w:lang w:val="en-US" w:eastAsia="zh-CN"/>
              </w:rPr>
              <w:t>___________________</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hint="eastAsia" w:ascii="宋体" w:hAnsi="宋体"/>
                <w:sz w:val="24"/>
                <w:highlight w:val="none"/>
                <w:lang w:eastAsia="zh-CN"/>
              </w:rPr>
              <w:t>响应单位</w:t>
            </w:r>
            <w:r>
              <w:rPr>
                <w:rFonts w:hint="eastAsia" w:ascii="宋体" w:hAnsi="宋体"/>
                <w:sz w:val="24"/>
                <w:highlight w:val="none"/>
              </w:rPr>
              <w:t>须在</w:t>
            </w:r>
            <w:r>
              <w:rPr>
                <w:rFonts w:hint="eastAsia" w:ascii="宋体" w:hAnsi="宋体"/>
                <w:sz w:val="24"/>
                <w:highlight w:val="none"/>
                <w:lang w:eastAsia="zh-CN"/>
              </w:rPr>
              <w:t>分项报价表</w:t>
            </w:r>
            <w:r>
              <w:rPr>
                <w:rFonts w:hint="eastAsia" w:ascii="宋体" w:hAnsi="宋体"/>
                <w:sz w:val="24"/>
                <w:highlight w:val="none"/>
              </w:rPr>
              <w:t>（见附件）中分别报出以上各部分价格。</w:t>
            </w:r>
            <w:r>
              <w:rPr>
                <w:rFonts w:hint="eastAsia" w:ascii="宋体" w:hAnsi="宋体"/>
                <w:sz w:val="24"/>
                <w:highlight w:val="none"/>
                <w:lang w:eastAsia="zh-CN"/>
              </w:rPr>
              <w:t>响应单位</w:t>
            </w:r>
            <w:r>
              <w:rPr>
                <w:rFonts w:hint="eastAsia" w:ascii="宋体" w:hAnsi="宋体"/>
                <w:sz w:val="24"/>
                <w:highlight w:val="none"/>
              </w:rPr>
              <w:t>根据报价需要可对“分项报价表”进行扩展。</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hint="eastAsia" w:ascii="宋体" w:hAnsi="宋体"/>
                <w:sz w:val="24"/>
                <w:highlight w:val="none"/>
              </w:rPr>
            </w:pPr>
            <w:r>
              <w:rPr>
                <w:rFonts w:ascii="Times New Roman" w:hAnsi="Times New Roman"/>
                <w:sz w:val="24"/>
                <w:highlight w:val="none"/>
              </w:rPr>
              <w:t>报价应是本项目范围内全部工作内容的价格体现，应包含所涉及的一切相关费用，若有遗漏，</w:t>
            </w:r>
            <w:r>
              <w:rPr>
                <w:rFonts w:hint="eastAsia" w:ascii="Times New Roman" w:hAnsi="Times New Roman"/>
                <w:sz w:val="24"/>
                <w:highlight w:val="none"/>
                <w:lang w:eastAsia="zh-CN"/>
              </w:rPr>
              <w:t>客服</w:t>
            </w:r>
            <w:r>
              <w:rPr>
                <w:rFonts w:ascii="Times New Roman" w:hAnsi="Times New Roman"/>
                <w:sz w:val="24"/>
                <w:highlight w:val="none"/>
              </w:rPr>
              <w:t>公司视作</w:t>
            </w:r>
            <w:r>
              <w:rPr>
                <w:rFonts w:hint="eastAsia" w:ascii="Times New Roman" w:hAnsi="Times New Roman"/>
                <w:sz w:val="24"/>
                <w:highlight w:val="none"/>
                <w:lang w:eastAsia="zh-CN"/>
              </w:rPr>
              <w:t>响应单位</w:t>
            </w:r>
            <w:r>
              <w:rPr>
                <w:rFonts w:ascii="Times New Roman" w:hAnsi="Times New Roman"/>
                <w:sz w:val="24"/>
                <w:highlight w:val="none"/>
              </w:rPr>
              <w:t>已考虑让利，费用不予增加。</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159" w:beforeLines="50" w:after="159" w:afterLines="50" w:line="240" w:lineRule="auto"/>
              <w:ind w:left="420" w:leftChars="0" w:hanging="420" w:firstLineChars="0"/>
              <w:jc w:val="left"/>
              <w:textAlignment w:val="auto"/>
              <w:outlineLvl w:val="9"/>
              <w:rPr>
                <w:rFonts w:ascii="Times New Roman" w:hAnsi="Times New Roman"/>
                <w:sz w:val="24"/>
                <w:highlight w:val="none"/>
              </w:rPr>
            </w:pPr>
            <w:r>
              <w:rPr>
                <w:rFonts w:hint="eastAsia" w:ascii="Times New Roman" w:hAnsi="Times New Roman"/>
                <w:sz w:val="24"/>
                <w:highlight w:val="none"/>
                <w:lang w:eastAsia="zh-CN"/>
              </w:rPr>
              <w:t>响应单位</w:t>
            </w:r>
            <w:r>
              <w:rPr>
                <w:rFonts w:ascii="Times New Roman" w:hAnsi="Times New Roman"/>
                <w:sz w:val="24"/>
                <w:highlight w:val="none"/>
              </w:rPr>
              <w:t>提交的报价不应有选择性报价或具有附加条件的报价</w:t>
            </w:r>
            <w:r>
              <w:rPr>
                <w:rFonts w:hint="eastAsia" w:ascii="Times New Roman" w:hAnsi="Times New Roman"/>
                <w:sz w:val="24"/>
                <w:highlight w:val="none"/>
                <w:lang w:eastAsia="zh-CN"/>
              </w:rPr>
              <w:t>，</w:t>
            </w:r>
            <w:r>
              <w:rPr>
                <w:rFonts w:ascii="Times New Roman" w:hAnsi="Times New Roman"/>
                <w:sz w:val="24"/>
                <w:highlight w:val="none"/>
              </w:rPr>
              <w:t>如出现以下情况（包括但不限于以下几种），则</w:t>
            </w:r>
            <w:r>
              <w:rPr>
                <w:rFonts w:hint="eastAsia" w:ascii="Times New Roman" w:hAnsi="Times New Roman"/>
                <w:sz w:val="24"/>
                <w:highlight w:val="none"/>
                <w:lang w:eastAsia="zh-CN"/>
              </w:rPr>
              <w:t>响应文件</w:t>
            </w:r>
            <w:r>
              <w:rPr>
                <w:rFonts w:ascii="Times New Roman" w:hAnsi="Times New Roman"/>
                <w:sz w:val="24"/>
                <w:highlight w:val="none"/>
              </w:rPr>
              <w:t>将被否决：</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ascii="Times New Roman" w:hAnsi="Times New Roman"/>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）若中标，则将在报价基础上降价</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）若中标某几个项目，则这几个项目将在报价基础上降价</w:t>
            </w:r>
          </w:p>
          <w:p>
            <w:pPr>
              <w:keepNext w:val="0"/>
              <w:keepLines w:val="0"/>
              <w:pageBreakBefore w:val="0"/>
              <w:widowControl w:val="0"/>
              <w:numPr>
                <w:ilvl w:val="0"/>
                <w:numId w:val="15"/>
              </w:numPr>
              <w:tabs>
                <w:tab w:val="left" w:pos="312"/>
              </w:tabs>
              <w:kinsoku/>
              <w:wordWrap/>
              <w:overflowPunct/>
              <w:topLinePunct w:val="0"/>
              <w:autoSpaceDE/>
              <w:autoSpaceDN/>
              <w:bidi w:val="0"/>
              <w:adjustRightInd/>
              <w:snapToGrid/>
              <w:spacing w:before="159" w:beforeLines="50" w:after="159" w:afterLines="50" w:line="240" w:lineRule="auto"/>
              <w:ind w:left="420" w:leftChars="200" w:firstLine="0" w:firstLineChars="0"/>
              <w:textAlignment w:val="auto"/>
              <w:outlineLvl w:val="9"/>
              <w:rPr>
                <w:rFonts w:hint="eastAsia" w:ascii="宋体" w:hAnsi="宋体"/>
                <w:sz w:val="24"/>
                <w:highlight w:val="none"/>
              </w:rPr>
            </w:pPr>
            <w:r>
              <w:rPr>
                <w:rFonts w:ascii="Times New Roman" w:hAnsi="Times New Roman"/>
                <w:sz w:val="24"/>
                <w:highlight w:val="none"/>
              </w:rPr>
              <w:t>我方（</w:t>
            </w:r>
            <w:r>
              <w:rPr>
                <w:rFonts w:hint="eastAsia" w:ascii="Times New Roman" w:hAnsi="Times New Roman"/>
                <w:sz w:val="24"/>
                <w:highlight w:val="none"/>
                <w:lang w:eastAsia="zh-CN"/>
              </w:rPr>
              <w:t>响应单位</w:t>
            </w:r>
            <w:r>
              <w:rPr>
                <w:rFonts w:ascii="Times New Roman" w:hAnsi="Times New Roman"/>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val="en-US" w:eastAsia="zh-CN"/>
              </w:rPr>
              <w:t>7</w:t>
            </w:r>
          </w:p>
        </w:tc>
        <w:tc>
          <w:tcPr>
            <w:tcW w:w="169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vertAlign w:val="baseline"/>
                <w:lang w:eastAsia="zh-CN"/>
              </w:rPr>
              <w:t>其他商务要求</w:t>
            </w:r>
          </w:p>
        </w:tc>
        <w:tc>
          <w:tcPr>
            <w:tcW w:w="6604" w:type="dxa"/>
            <w:vAlign w:val="center"/>
          </w:tcPr>
          <w:p>
            <w:pPr>
              <w:keepNext w:val="0"/>
              <w:keepLines w:val="0"/>
              <w:pageBreakBefore w:val="0"/>
              <w:widowControl w:val="0"/>
              <w:numPr>
                <w:ilvl w:val="0"/>
                <w:numId w:val="16"/>
              </w:numPr>
              <w:kinsoku/>
              <w:wordWrap/>
              <w:overflowPunct/>
              <w:topLinePunct w:val="0"/>
              <w:autoSpaceDE w:val="0"/>
              <w:autoSpaceDN w:val="0"/>
              <w:bidi w:val="0"/>
              <w:adjustRightInd/>
              <w:snapToGrid/>
              <w:spacing w:before="159" w:beforeLines="50" w:after="159" w:afterLines="50" w:line="240" w:lineRule="auto"/>
              <w:ind w:left="224" w:leftChars="104" w:hanging="6" w:firstLineChars="0"/>
              <w:jc w:val="left"/>
              <w:textAlignment w:val="auto"/>
              <w:outlineLvl w:val="9"/>
              <w:rPr>
                <w:rFonts w:hint="eastAsia"/>
                <w:lang w:val="en-US" w:eastAsia="zh-CN"/>
              </w:rPr>
            </w:pPr>
            <w:r>
              <w:rPr>
                <w:rFonts w:hint="eastAsia"/>
                <w:lang w:val="en-US" w:eastAsia="zh-CN"/>
              </w:rPr>
              <w:t>在签署本项目合同及履行本项目义务时无任何法律障碍和重大事件影响供应商继续正常存续和全面履行本项目合同的能力，未被列入全国失信被执行人名单。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9" w:beforeLines="50" w:after="159" w:afterLines="50" w:line="240" w:lineRule="auto"/>
              <w:ind w:leftChars="104"/>
              <w:jc w:val="left"/>
              <w:textAlignment w:val="auto"/>
              <w:outlineLvl w:val="9"/>
              <w:rPr>
                <w:rFonts w:hint="default"/>
                <w:lang w:val="en-US" w:eastAsia="zh-CN"/>
              </w:rPr>
            </w:pPr>
            <w:r>
              <w:rPr>
                <w:rFonts w:hint="eastAsia" w:ascii="宋体" w:hAnsi="宋体" w:eastAsia="宋体" w:cs="宋体"/>
                <w:sz w:val="24"/>
                <w:highlight w:val="none"/>
                <w:vertAlign w:val="baseline"/>
                <w:lang w:val="en-US" w:eastAsia="zh-CN"/>
              </w:rPr>
              <w:t>*</w:t>
            </w:r>
            <w:r>
              <w:rPr>
                <w:rFonts w:hint="eastAsia" w:ascii="宋体" w:hAnsi="宋体" w:cs="宋体"/>
                <w:sz w:val="24"/>
                <w:highlight w:val="none"/>
                <w:vertAlign w:val="baseline"/>
                <w:lang w:val="en-US" w:eastAsia="zh-CN"/>
              </w:rPr>
              <w:t>2.</w:t>
            </w:r>
            <w:r>
              <w:rPr>
                <w:rFonts w:hint="eastAsia"/>
                <w:lang w:val="en-US" w:eastAsia="zh-CN"/>
              </w:rPr>
              <w:t>本项目不允许转包、分包。</w:t>
            </w:r>
          </w:p>
        </w:tc>
      </w:tr>
    </w:tbl>
    <w:p>
      <w:pPr>
        <w:keepNext w:val="0"/>
        <w:keepLines w:val="0"/>
        <w:pageBreakBefore w:val="0"/>
        <w:kinsoku/>
        <w:overflowPunct/>
        <w:topLinePunct w:val="0"/>
        <w:bidi w:val="0"/>
        <w:textAlignment w:val="auto"/>
        <w:outlineLvl w:val="9"/>
        <w:rPr>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highlight w:val="none"/>
        </w:rPr>
        <w:br w:type="page"/>
      </w:r>
      <w:bookmarkEnd w:id="9"/>
      <w:bookmarkStart w:id="14" w:name="_Toc28157_WPSOffice_Level1"/>
      <w:r>
        <w:rPr>
          <w:rFonts w:hint="eastAsia" w:ascii="方正小标宋简体" w:hAnsi="方正小标宋简体" w:eastAsia="方正小标宋简体" w:cs="方正小标宋简体"/>
          <w:b/>
          <w:bCs w:val="0"/>
          <w:color w:val="000000"/>
          <w:sz w:val="36"/>
          <w:szCs w:val="36"/>
          <w:highlight w:val="none"/>
          <w:lang w:eastAsia="zh-CN"/>
        </w:rPr>
        <w:t>第五</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服务要求</w:t>
      </w:r>
      <w:bookmarkEnd w:id="14"/>
    </w:p>
    <w:p>
      <w:pPr>
        <w:keepNext w:val="0"/>
        <w:keepLines w:val="0"/>
        <w:pageBreakBefore w:val="0"/>
        <w:widowControl/>
        <w:kinsoku/>
        <w:overflowPunct/>
        <w:topLinePunct w:val="0"/>
        <w:bidi w:val="0"/>
        <w:ind w:firstLine="602" w:firstLineChars="200"/>
        <w:jc w:val="center"/>
        <w:textAlignment w:val="auto"/>
        <w:outlineLvl w:val="9"/>
        <w:rPr>
          <w:rFonts w:ascii="宋体" w:hAnsi="宋体"/>
          <w:b/>
          <w:bCs/>
          <w:kern w:val="44"/>
          <w:sz w:val="30"/>
          <w:szCs w:val="30"/>
          <w:highlight w:val="none"/>
        </w:rPr>
      </w:pPr>
    </w:p>
    <w:p>
      <w:pPr>
        <w:keepNext w:val="0"/>
        <w:keepLines w:val="0"/>
        <w:pageBreakBefore w:val="0"/>
        <w:widowControl w:val="0"/>
        <w:kinsoku/>
        <w:wordWrap/>
        <w:overflowPunct/>
        <w:topLinePunct w:val="0"/>
        <w:autoSpaceDE/>
        <w:autoSpaceDN/>
        <w:bidi w:val="0"/>
        <w:adjustRightInd w:val="0"/>
        <w:snapToGrid w:val="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特别提醒：</w:t>
      </w:r>
    </w:p>
    <w:p>
      <w:pPr>
        <w:keepNext w:val="0"/>
        <w:keepLines w:val="0"/>
        <w:pageBreakBefore w:val="0"/>
        <w:widowControl w:val="0"/>
        <w:numPr>
          <w:ilvl w:val="0"/>
          <w:numId w:val="11"/>
        </w:numPr>
        <w:kinsoku/>
        <w:wordWrap/>
        <w:overflowPunct/>
        <w:topLinePunct w:val="0"/>
        <w:autoSpaceDE/>
        <w:autoSpaceDN/>
        <w:bidi w:val="0"/>
        <w:adjustRightInd w:val="0"/>
        <w:snapToGrid w:val="0"/>
        <w:ind w:left="420" w:leftChars="0" w:hanging="420" w:firstLineChars="0"/>
        <w:textAlignment w:val="auto"/>
        <w:outlineLvl w:val="9"/>
        <w:rPr>
          <w:rFonts w:hint="eastAsia" w:ascii="黑体" w:hAnsi="黑体" w:eastAsia="黑体" w:cs="黑体"/>
          <w:b/>
          <w:bCs/>
          <w:sz w:val="28"/>
          <w:szCs w:val="36"/>
          <w:highlight w:val="none"/>
          <w:u w:val="single"/>
          <w:lang w:eastAsia="zh-CN"/>
        </w:rPr>
      </w:pPr>
      <w:r>
        <w:rPr>
          <w:rFonts w:hint="eastAsia" w:ascii="黑体" w:hAnsi="黑体" w:eastAsia="黑体" w:cs="黑体"/>
          <w:b/>
          <w:bCs/>
          <w:sz w:val="28"/>
          <w:szCs w:val="36"/>
          <w:highlight w:val="none"/>
          <w:u w:val="single"/>
          <w:lang w:eastAsia="zh-CN"/>
        </w:rPr>
        <w:t>本章序号标注“*”号的均为关键服务要求，对这些条款的不响应将导致响应文件被否决。响应单位应提供相应的服务方案描述或证明材料。</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eastAsia" w:ascii="宋体" w:hAnsi="宋体"/>
          <w:b/>
          <w:bCs/>
          <w:szCs w:val="21"/>
          <w:highlight w:val="none"/>
          <w:lang w:val="en-US" w:eastAsia="zh-CN"/>
        </w:rPr>
      </w:pPr>
      <w:r>
        <w:rPr>
          <w:rFonts w:hint="eastAsia" w:ascii="宋体" w:hAnsi="宋体"/>
          <w:b/>
          <w:bCs/>
          <w:szCs w:val="21"/>
          <w:highlight w:val="none"/>
          <w:lang w:val="en-US" w:eastAsia="zh-CN"/>
        </w:rPr>
        <w:t>*1、服务范围</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eastAsia" w:ascii="宋体" w:hAnsi="宋体"/>
          <w:szCs w:val="21"/>
          <w:highlight w:val="none"/>
          <w:lang w:val="en-US" w:eastAsia="zh-CN"/>
        </w:rPr>
      </w:pPr>
      <w:r>
        <w:rPr>
          <w:rFonts w:hint="eastAsia" w:ascii="宋体" w:hAnsi="宋体"/>
          <w:szCs w:val="21"/>
          <w:highlight w:val="none"/>
          <w:lang w:val="en-US" w:eastAsia="zh-CN"/>
        </w:rPr>
        <w:t>距离昆明长水国际机场直线距离约10公里范围以内。</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default" w:ascii="宋体" w:hAnsi="宋体"/>
          <w:b/>
          <w:bCs/>
          <w:szCs w:val="21"/>
          <w:highlight w:val="none"/>
          <w:lang w:val="en-US" w:eastAsia="zh-CN"/>
        </w:rPr>
      </w:pPr>
      <w:r>
        <w:rPr>
          <w:rFonts w:hint="eastAsia" w:ascii="宋体" w:hAnsi="宋体"/>
          <w:b/>
          <w:bCs/>
          <w:szCs w:val="21"/>
          <w:highlight w:val="none"/>
          <w:lang w:val="en-US" w:eastAsia="zh-CN"/>
        </w:rPr>
        <w:t>*2、库房要求</w:t>
      </w:r>
    </w:p>
    <w:p>
      <w:pPr>
        <w:keepNext w:val="0"/>
        <w:keepLines w:val="0"/>
        <w:pageBreakBefore w:val="0"/>
        <w:widowControl w:val="0"/>
        <w:numPr>
          <w:ilvl w:val="0"/>
          <w:numId w:val="17"/>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szCs w:val="21"/>
          <w:highlight w:val="none"/>
          <w:lang w:val="en-US" w:eastAsia="zh-CN"/>
        </w:rPr>
      </w:pPr>
      <w:r>
        <w:rPr>
          <w:rFonts w:hint="eastAsia" w:ascii="宋体" w:hAnsi="宋体"/>
          <w:szCs w:val="21"/>
          <w:highlight w:val="none"/>
          <w:lang w:val="en-US" w:eastAsia="zh-CN"/>
        </w:rPr>
        <w:t>库房至少有一扇卷帘门宽度≥1.3米可供托盘进出；</w:t>
      </w:r>
    </w:p>
    <w:p>
      <w:pPr>
        <w:keepNext w:val="0"/>
        <w:keepLines w:val="0"/>
        <w:pageBreakBefore w:val="0"/>
        <w:widowControl w:val="0"/>
        <w:numPr>
          <w:ilvl w:val="0"/>
          <w:numId w:val="17"/>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szCs w:val="21"/>
          <w:highlight w:val="none"/>
          <w:lang w:val="en-US" w:eastAsia="zh-CN"/>
        </w:rPr>
      </w:pPr>
      <w:r>
        <w:rPr>
          <w:rFonts w:hint="eastAsia" w:ascii="宋体" w:hAnsi="宋体"/>
          <w:szCs w:val="21"/>
          <w:highlight w:val="none"/>
          <w:lang w:val="en-US" w:eastAsia="zh-CN"/>
        </w:rPr>
        <w:t>库房所在园区需配备保安；</w:t>
      </w:r>
    </w:p>
    <w:p>
      <w:pPr>
        <w:numPr>
          <w:ilvl w:val="0"/>
          <w:numId w:val="17"/>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eastAsia" w:ascii="宋体" w:hAnsi="宋体"/>
          <w:b w:val="0"/>
          <w:kern w:val="2"/>
          <w:sz w:val="21"/>
          <w:szCs w:val="21"/>
          <w:highlight w:val="none"/>
          <w:lang w:val="en-US" w:eastAsia="zh-CN"/>
        </w:rPr>
      </w:pPr>
      <w:r>
        <w:rPr>
          <w:rFonts w:hint="eastAsia" w:ascii="宋体" w:hAnsi="宋体"/>
          <w:szCs w:val="21"/>
          <w:highlight w:val="none"/>
          <w:lang w:val="en-US" w:eastAsia="zh-CN"/>
        </w:rPr>
        <w:t>可实现30%-80%的湿度控制；</w:t>
      </w:r>
    </w:p>
    <w:p>
      <w:pPr>
        <w:numPr>
          <w:ilvl w:val="0"/>
          <w:numId w:val="17"/>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eastAsia"/>
          <w:lang w:val="en-US" w:eastAsia="zh-CN"/>
        </w:rPr>
      </w:pPr>
      <w:r>
        <w:rPr>
          <w:rFonts w:hint="eastAsia" w:ascii="宋体" w:hAnsi="宋体"/>
          <w:b w:val="0"/>
          <w:kern w:val="2"/>
          <w:sz w:val="21"/>
          <w:szCs w:val="21"/>
          <w:highlight w:val="none"/>
          <w:lang w:val="en-US" w:eastAsia="zh-CN"/>
        </w:rPr>
        <w:t>租赁面积：150-200平方米；</w:t>
      </w:r>
    </w:p>
    <w:p>
      <w:pPr>
        <w:numPr>
          <w:ilvl w:val="0"/>
          <w:numId w:val="17"/>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lang w:val="en-US" w:eastAsia="zh-CN"/>
        </w:rPr>
        <w:t>库区及设施设备的日常维修、垃圾清运。</w:t>
      </w:r>
    </w:p>
    <w:p>
      <w:pPr>
        <w:keepNext w:val="0"/>
        <w:keepLines w:val="0"/>
        <w:pageBreakBefore w:val="0"/>
        <w:widowControl w:val="0"/>
        <w:numPr>
          <w:ilvl w:val="0"/>
          <w:numId w:val="0"/>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eastAsia" w:ascii="宋体" w:hAnsi="宋体"/>
          <w:b/>
          <w:bCs/>
          <w:szCs w:val="21"/>
          <w:highlight w:val="none"/>
          <w:lang w:val="en-US" w:eastAsia="zh-CN"/>
        </w:rPr>
      </w:pPr>
      <w:r>
        <w:rPr>
          <w:rFonts w:hint="eastAsia" w:ascii="宋体" w:hAnsi="宋体"/>
          <w:b/>
          <w:bCs/>
          <w:szCs w:val="21"/>
          <w:highlight w:val="none"/>
          <w:lang w:val="en-US" w:eastAsia="zh-CN"/>
        </w:rPr>
        <w:t>*3、配套设施</w:t>
      </w:r>
    </w:p>
    <w:p>
      <w:pPr>
        <w:keepNext w:val="0"/>
        <w:keepLines w:val="0"/>
        <w:pageBreakBefore w:val="0"/>
        <w:widowControl w:val="0"/>
        <w:numPr>
          <w:ilvl w:val="0"/>
          <w:numId w:val="18"/>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库房配备空调、除湿机，使库房保持10℃-30℃的温度，30%-80&amp;的湿度；</w:t>
      </w:r>
    </w:p>
    <w:p>
      <w:pPr>
        <w:keepNext w:val="0"/>
        <w:keepLines w:val="0"/>
        <w:pageBreakBefore w:val="0"/>
        <w:widowControl w:val="0"/>
        <w:numPr>
          <w:ilvl w:val="0"/>
          <w:numId w:val="18"/>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b w:val="0"/>
          <w:bCs w:val="0"/>
          <w:szCs w:val="21"/>
          <w:highlight w:val="none"/>
          <w:lang w:val="en-US" w:eastAsia="zh-CN"/>
        </w:rPr>
      </w:pPr>
      <w:r>
        <w:rPr>
          <w:rFonts w:hint="eastAsia" w:ascii="宋体" w:hAnsi="宋体"/>
          <w:b w:val="0"/>
          <w:bCs w:val="0"/>
          <w:szCs w:val="21"/>
          <w:highlight w:val="none"/>
          <w:lang w:val="en-US" w:eastAsia="zh-CN"/>
        </w:rPr>
        <w:t>配备4个灭火瓶；</w:t>
      </w:r>
    </w:p>
    <w:p>
      <w:pPr>
        <w:keepNext w:val="0"/>
        <w:keepLines w:val="0"/>
        <w:pageBreakBefore w:val="0"/>
        <w:widowControl w:val="0"/>
        <w:numPr>
          <w:ilvl w:val="0"/>
          <w:numId w:val="18"/>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b w:val="0"/>
          <w:bCs w:val="0"/>
          <w:szCs w:val="21"/>
          <w:highlight w:val="none"/>
          <w:lang w:val="en-US" w:eastAsia="zh-CN"/>
        </w:rPr>
      </w:pPr>
      <w:r>
        <w:rPr>
          <w:rFonts w:hint="eastAsia" w:ascii="宋体" w:hAnsi="宋体"/>
          <w:b w:val="0"/>
          <w:bCs w:val="0"/>
          <w:szCs w:val="21"/>
          <w:highlight w:val="none"/>
          <w:lang w:val="en-US" w:eastAsia="zh-CN"/>
        </w:rPr>
        <w:t>仓库应处于可监控状态，每个独立库房都需配备4个监控摄像头及对应的监控设备；</w:t>
      </w:r>
    </w:p>
    <w:p>
      <w:pPr>
        <w:keepNext w:val="0"/>
        <w:keepLines w:val="0"/>
        <w:pageBreakBefore w:val="0"/>
        <w:widowControl w:val="0"/>
        <w:numPr>
          <w:ilvl w:val="0"/>
          <w:numId w:val="18"/>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default" w:ascii="宋体" w:hAnsi="宋体"/>
          <w:b w:val="0"/>
          <w:bCs w:val="0"/>
          <w:szCs w:val="21"/>
          <w:highlight w:val="none"/>
          <w:lang w:val="en-US" w:eastAsia="zh-CN"/>
        </w:rPr>
      </w:pPr>
      <w:r>
        <w:rPr>
          <w:rFonts w:hint="eastAsia" w:ascii="宋体" w:hAnsi="宋体"/>
          <w:b w:val="0"/>
          <w:bCs w:val="0"/>
          <w:szCs w:val="21"/>
          <w:highlight w:val="none"/>
          <w:lang w:val="en-US" w:eastAsia="zh-CN"/>
        </w:rPr>
        <w:t>办公桌椅一套；</w:t>
      </w:r>
    </w:p>
    <w:p>
      <w:pPr>
        <w:numPr>
          <w:ilvl w:val="0"/>
          <w:numId w:val="18"/>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ascii="宋体" w:hAnsi="宋体"/>
          <w:b w:val="0"/>
          <w:bCs w:val="0"/>
          <w:szCs w:val="21"/>
          <w:highlight w:val="none"/>
          <w:lang w:val="en-US" w:eastAsia="zh-CN"/>
        </w:rPr>
        <w:t>温湿度计1个；</w:t>
      </w:r>
    </w:p>
    <w:p>
      <w:pPr>
        <w:numPr>
          <w:ilvl w:val="0"/>
          <w:numId w:val="18"/>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lang w:val="en-US" w:eastAsia="zh-CN"/>
        </w:rPr>
        <w:t>照明设施满足日常使用需求；</w:t>
      </w:r>
    </w:p>
    <w:p>
      <w:pPr>
        <w:numPr>
          <w:ilvl w:val="0"/>
          <w:numId w:val="18"/>
        </w:numPr>
        <w:tabs>
          <w:tab w:val="left" w:pos="420"/>
          <w:tab w:val="left" w:pos="7560"/>
          <w:tab w:val="left" w:pos="7740"/>
          <w:tab w:val="left" w:pos="7920"/>
        </w:tabs>
        <w:snapToGrid w:val="0"/>
        <w:spacing w:before="157" w:beforeLines="50" w:line="360" w:lineRule="auto"/>
        <w:ind w:firstLine="840" w:firstLineChars="400"/>
        <w:jc w:val="both"/>
        <w:textAlignment w:val="auto"/>
        <w:rPr>
          <w:rFonts w:hint="default"/>
          <w:lang w:val="en-US" w:eastAsia="zh-CN"/>
        </w:rPr>
      </w:pPr>
      <w:r>
        <w:rPr>
          <w:rFonts w:hint="eastAsia"/>
          <w:lang w:val="en-US" w:eastAsia="zh-CN"/>
        </w:rPr>
        <w:t>供电安全、稳定，无安全隐患且能满足本文件内提到的配套设施使用电量；</w:t>
      </w:r>
    </w:p>
    <w:p>
      <w:pPr>
        <w:pStyle w:val="2"/>
        <w:ind w:firstLine="840" w:firstLineChars="400"/>
        <w:rPr>
          <w:rFonts w:hint="default"/>
          <w:lang w:val="en-US" w:eastAsia="zh-CN"/>
        </w:rPr>
      </w:pPr>
      <w:r>
        <w:rPr>
          <w:rFonts w:hint="eastAsia"/>
          <w:lang w:val="en-US" w:eastAsia="zh-CN"/>
        </w:rPr>
        <w:t>（8）配备电脑及打印机各一台。</w:t>
      </w:r>
    </w:p>
    <w:p>
      <w:pPr>
        <w:keepNext w:val="0"/>
        <w:keepLines w:val="0"/>
        <w:pageBreakBefore w:val="0"/>
        <w:widowControl w:val="0"/>
        <w:numPr>
          <w:ilvl w:val="0"/>
          <w:numId w:val="0"/>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eastAsia"/>
          <w:lang w:val="en-US" w:eastAsia="zh-CN"/>
        </w:rPr>
      </w:pPr>
      <w:r>
        <w:rPr>
          <w:rFonts w:hint="eastAsia" w:ascii="宋体" w:hAnsi="宋体"/>
          <w:b/>
          <w:bCs/>
          <w:szCs w:val="21"/>
          <w:highlight w:val="none"/>
          <w:lang w:val="en-US" w:eastAsia="zh-CN"/>
        </w:rPr>
        <w:t>*4、交付时间</w:t>
      </w:r>
    </w:p>
    <w:p>
      <w:pPr>
        <w:keepNext w:val="0"/>
        <w:keepLines w:val="0"/>
        <w:pageBreakBefore w:val="0"/>
        <w:widowControl w:val="0"/>
        <w:numPr>
          <w:ilvl w:val="0"/>
          <w:numId w:val="0"/>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840" w:firstLineChars="400"/>
        <w:jc w:val="both"/>
        <w:textAlignment w:val="auto"/>
        <w:outlineLvl w:val="0"/>
        <w:rPr>
          <w:rFonts w:hint="eastAsia" w:ascii="宋体" w:hAnsi="宋体"/>
          <w:b w:val="0"/>
          <w:bCs w:val="0"/>
          <w:szCs w:val="21"/>
          <w:highlight w:val="none"/>
          <w:lang w:val="en-US" w:eastAsia="zh-CN"/>
        </w:rPr>
      </w:pPr>
      <w:r>
        <w:rPr>
          <w:rFonts w:hint="eastAsia" w:ascii="宋体" w:hAnsi="宋体"/>
          <w:b w:val="0"/>
          <w:bCs w:val="0"/>
          <w:szCs w:val="21"/>
          <w:highlight w:val="none"/>
          <w:lang w:val="en-US" w:eastAsia="zh-CN"/>
        </w:rPr>
        <w:t>签订合同并完成验收之日起10个工作日内完成交付。</w:t>
      </w:r>
    </w:p>
    <w:p>
      <w:pPr>
        <w:keepNext w:val="0"/>
        <w:keepLines w:val="0"/>
        <w:pageBreakBefore w:val="0"/>
        <w:widowControl w:val="0"/>
        <w:numPr>
          <w:ilvl w:val="0"/>
          <w:numId w:val="0"/>
        </w:numPr>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422" w:firstLineChars="200"/>
        <w:jc w:val="both"/>
        <w:textAlignment w:val="auto"/>
        <w:outlineLvl w:val="0"/>
        <w:rPr>
          <w:rFonts w:hint="eastAsia" w:ascii="宋体" w:hAnsi="宋体"/>
          <w:b/>
          <w:bCs/>
          <w:szCs w:val="21"/>
          <w:highlight w:val="none"/>
          <w:lang w:val="en-US" w:eastAsia="zh-CN"/>
        </w:rPr>
      </w:pPr>
      <w:r>
        <w:rPr>
          <w:rFonts w:hint="eastAsia" w:ascii="宋体" w:hAnsi="宋体"/>
          <w:b/>
          <w:bCs/>
          <w:szCs w:val="21"/>
          <w:highlight w:val="none"/>
          <w:lang w:val="en-US" w:eastAsia="zh-CN"/>
        </w:rPr>
        <w:t>*5、人员要求</w:t>
      </w:r>
    </w:p>
    <w:p>
      <w:pPr>
        <w:pStyle w:val="7"/>
        <w:keepNext w:val="0"/>
        <w:keepLines w:val="0"/>
        <w:numPr>
          <w:ilvl w:val="-1"/>
          <w:numId w:val="0"/>
        </w:numPr>
        <w:tabs>
          <w:tab w:val="left" w:pos="720"/>
        </w:tabs>
        <w:spacing w:before="0" w:after="240"/>
        <w:ind w:left="480" w:firstLine="420" w:firstLineChars="200"/>
        <w:jc w:val="both"/>
        <w:rPr>
          <w:rFonts w:hint="eastAsia" w:ascii="方正小标宋简体" w:hAnsi="方正小标宋简体" w:eastAsia="方正小标宋简体" w:cs="方正小标宋简体"/>
          <w:b/>
          <w:bCs w:val="0"/>
          <w:color w:val="000000"/>
          <w:sz w:val="36"/>
          <w:szCs w:val="36"/>
          <w:highlight w:val="none"/>
          <w:lang w:eastAsia="zh-CN"/>
        </w:rPr>
      </w:pPr>
      <w:r>
        <w:rPr>
          <w:rFonts w:hint="eastAsia" w:cs="Times New Roman"/>
          <w:b w:val="0"/>
          <w:bCs w:val="0"/>
          <w:kern w:val="2"/>
          <w:sz w:val="21"/>
          <w:szCs w:val="24"/>
          <w:lang w:val="en-US" w:eastAsia="zh-CN" w:bidi="ar-SA"/>
        </w:rPr>
        <w:t>响应单位</w:t>
      </w:r>
      <w:r>
        <w:rPr>
          <w:rFonts w:hint="eastAsia" w:ascii="Times New Roman" w:hAnsi="Times New Roman" w:eastAsia="宋体" w:cs="Times New Roman"/>
          <w:b w:val="0"/>
          <w:bCs w:val="0"/>
          <w:kern w:val="2"/>
          <w:sz w:val="21"/>
          <w:szCs w:val="24"/>
          <w:lang w:val="en-US" w:eastAsia="zh-CN" w:bidi="ar-SA"/>
        </w:rPr>
        <w:t>负责仓库存放航材的管理，其应按照法律规定和行业标准以及</w:t>
      </w:r>
      <w:r>
        <w:rPr>
          <w:rFonts w:hint="eastAsia" w:cs="Times New Roman"/>
          <w:b w:val="0"/>
          <w:bCs w:val="0"/>
          <w:kern w:val="2"/>
          <w:sz w:val="21"/>
          <w:szCs w:val="24"/>
          <w:lang w:val="en-US" w:eastAsia="zh-CN" w:bidi="ar-SA"/>
        </w:rPr>
        <w:t>客服公司</w:t>
      </w:r>
      <w:r>
        <w:rPr>
          <w:rFonts w:hint="eastAsia" w:ascii="Times New Roman" w:hAnsi="Times New Roman" w:eastAsia="宋体" w:cs="Times New Roman"/>
          <w:b w:val="0"/>
          <w:bCs w:val="0"/>
          <w:kern w:val="2"/>
          <w:sz w:val="21"/>
          <w:szCs w:val="24"/>
          <w:lang w:val="en-US" w:eastAsia="zh-CN" w:bidi="ar-SA"/>
        </w:rPr>
        <w:t>要求提供7x24小时航材管理，包括但不限于航材的日常仓储管理、出入库管理、台账管理等。</w:t>
      </w:r>
      <w:r>
        <w:rPr>
          <w:rFonts w:ascii="宋体" w:hAnsi="宋体"/>
          <w:szCs w:val="21"/>
          <w:highlight w:val="none"/>
        </w:rPr>
        <w:br w:type="page"/>
      </w:r>
      <w:bookmarkEnd w:id="10"/>
      <w:bookmarkStart w:id="15" w:name="_Toc7733_WPSOffice_Level1"/>
      <w:r>
        <w:rPr>
          <w:rFonts w:hint="eastAsia" w:ascii="方正小标宋简体" w:hAnsi="方正小标宋简体" w:eastAsia="方正小标宋简体" w:cs="方正小标宋简体"/>
          <w:b/>
          <w:bCs w:val="0"/>
          <w:color w:val="000000"/>
          <w:sz w:val="36"/>
          <w:szCs w:val="36"/>
          <w:highlight w:val="none"/>
          <w:lang w:eastAsia="zh-CN"/>
        </w:rPr>
        <w:t>第六</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附件</w:t>
      </w:r>
      <w:bookmarkEnd w:id="15"/>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eastAsia" w:ascii="黑体" w:hAnsi="宋体" w:eastAsia="黑体"/>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黑体" w:hAnsi="宋体" w:eastAsia="黑体"/>
          <w:sz w:val="30"/>
          <w:szCs w:val="30"/>
          <w:highlight w:val="none"/>
        </w:rPr>
      </w:pPr>
      <w:r>
        <w:rPr>
          <w:rFonts w:hint="eastAsia" w:ascii="黑体" w:hAnsi="宋体" w:eastAsia="黑体"/>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1、在研究了</w:t>
      </w:r>
      <w:r>
        <w:rPr>
          <w:rFonts w:hint="eastAsia" w:ascii="宋体" w:hAnsi="宋体"/>
          <w:b/>
          <w:bCs/>
          <w:highlight w:val="none"/>
          <w:u w:val="single"/>
          <w:lang w:val="en-US" w:eastAsia="zh-CN"/>
        </w:rPr>
        <w:t xml:space="preserve"> 昆明库房租赁与服务项目 </w:t>
      </w:r>
      <w:r>
        <w:rPr>
          <w:rFonts w:hint="eastAsia" w:ascii="宋体" w:hAnsi="宋体"/>
          <w:highlight w:val="none"/>
          <w:lang w:eastAsia="zh-CN"/>
        </w:rPr>
        <w:t>竞争性谈判邀请</w:t>
      </w:r>
      <w:r>
        <w:rPr>
          <w:rFonts w:hint="eastAsia" w:ascii="宋体" w:hAnsi="宋体"/>
          <w:highlight w:val="none"/>
        </w:rPr>
        <w:t>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lang w:val="en-US" w:eastAsia="zh-CN"/>
        </w:rPr>
        <w:t>______</w:t>
      </w:r>
      <w:r>
        <w:rPr>
          <w:rFonts w:hint="eastAsia" w:ascii="宋体" w:hAnsi="宋体"/>
          <w:highlight w:val="none"/>
          <w:lang w:eastAsia="zh-CN"/>
        </w:rPr>
        <w:t>（币种）</w:t>
      </w:r>
      <w:r>
        <w:rPr>
          <w:rFonts w:hint="eastAsia" w:ascii="宋体" w:hAnsi="宋体"/>
          <w:highlight w:val="none"/>
          <w:u w:val="single"/>
          <w:lang w:val="en-US" w:eastAsia="zh-CN"/>
        </w:rPr>
        <w:t xml:space="preserve">      </w:t>
      </w:r>
      <w:r>
        <w:rPr>
          <w:rFonts w:ascii="宋体" w:hAnsi="宋体"/>
          <w:highlight w:val="none"/>
        </w:rPr>
        <w:t>元（大写</w:t>
      </w:r>
      <w:r>
        <w:rPr>
          <w:rFonts w:hint="eastAsia" w:ascii="宋体" w:hAnsi="宋体"/>
          <w:highlight w:val="none"/>
          <w:u w:val="single"/>
          <w:lang w:val="en-US" w:eastAsia="zh-CN"/>
        </w:rPr>
        <w:t xml:space="preserve">       </w:t>
      </w:r>
      <w:r>
        <w:rPr>
          <w:rFonts w:ascii="宋体" w:hAnsi="宋体"/>
          <w:highlight w:val="none"/>
        </w:rPr>
        <w:t>元）的总价，遵照</w:t>
      </w:r>
      <w:r>
        <w:rPr>
          <w:rFonts w:hint="eastAsia" w:ascii="宋体" w:hAnsi="宋体"/>
          <w:highlight w:val="none"/>
          <w:lang w:eastAsia="zh-CN"/>
        </w:rPr>
        <w:t>竞争性谈判</w:t>
      </w:r>
      <w:r>
        <w:rPr>
          <w:rFonts w:hint="eastAsia" w:ascii="宋体" w:hAnsi="宋体"/>
          <w:highlight w:val="none"/>
        </w:rPr>
        <w:t>采购文件</w:t>
      </w:r>
      <w:r>
        <w:rPr>
          <w:rFonts w:ascii="宋体" w:hAnsi="宋体"/>
          <w:highlight w:val="none"/>
        </w:rPr>
        <w:t>（含补充文件）的要求承担本</w:t>
      </w:r>
      <w:r>
        <w:rPr>
          <w:rFonts w:hint="eastAsia" w:ascii="宋体" w:hAnsi="宋体"/>
          <w:highlight w:val="none"/>
          <w:lang w:eastAsia="zh-CN"/>
        </w:rPr>
        <w:t>竞争性谈判</w:t>
      </w:r>
      <w:r>
        <w:rPr>
          <w:rFonts w:ascii="宋体" w:hAnsi="宋体"/>
          <w:highlight w:val="none"/>
        </w:rPr>
        <w:t>项目的实施，完成本次</w:t>
      </w:r>
      <w:r>
        <w:rPr>
          <w:rFonts w:hint="eastAsia" w:ascii="宋体" w:hAnsi="宋体"/>
          <w:highlight w:val="none"/>
          <w:lang w:eastAsia="zh-CN"/>
        </w:rPr>
        <w:t>竞争性谈判</w:t>
      </w:r>
      <w:r>
        <w:rPr>
          <w:rFonts w:ascii="宋体" w:hAnsi="宋体"/>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lang w:eastAsia="zh-CN"/>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none"/>
          <w:lang w:val="en-US" w:eastAsia="zh-CN"/>
        </w:rPr>
        <w:t>服务期限</w:t>
      </w:r>
      <w:r>
        <w:rPr>
          <w:rFonts w:ascii="宋体" w:hAnsi="宋体"/>
          <w:highlight w:val="none"/>
        </w:rPr>
        <w:t>内完成本</w:t>
      </w:r>
      <w:r>
        <w:rPr>
          <w:rFonts w:hint="eastAsia" w:ascii="宋体" w:hAnsi="宋体"/>
          <w:highlight w:val="none"/>
          <w:lang w:eastAsia="zh-CN"/>
        </w:rPr>
        <w:t>竞争性谈判</w:t>
      </w:r>
      <w:r>
        <w:rPr>
          <w:rFonts w:ascii="宋体" w:hAnsi="宋体"/>
          <w:highlight w:val="none"/>
        </w:rPr>
        <w:t>项目的全部工作内容，并达到</w:t>
      </w:r>
      <w:r>
        <w:rPr>
          <w:rFonts w:hint="eastAsia" w:ascii="宋体" w:hAnsi="宋体"/>
          <w:highlight w:val="none"/>
          <w:lang w:eastAsia="zh-CN"/>
        </w:rPr>
        <w:t>竞争性谈判</w:t>
      </w:r>
      <w:r>
        <w:rPr>
          <w:rFonts w:ascii="宋体" w:hAnsi="宋体"/>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highlight w:val="none"/>
          <w:u w:val="single"/>
          <w:lang w:val="en-US" w:eastAsia="zh-CN"/>
        </w:rPr>
        <w:t>90</w:t>
      </w:r>
      <w:r>
        <w:rPr>
          <w:rFonts w:ascii="宋体" w:hAnsi="宋体"/>
          <w:highlight w:val="none"/>
          <w:u w:val="single"/>
        </w:rPr>
        <w:t>个日历天</w:t>
      </w:r>
      <w:r>
        <w:rPr>
          <w:rFonts w:ascii="宋体" w:hAnsi="宋体"/>
          <w:highlight w:val="none"/>
        </w:rPr>
        <w:t>的</w:t>
      </w:r>
      <w:r>
        <w:rPr>
          <w:rFonts w:hint="eastAsia" w:ascii="宋体" w:hAnsi="宋体"/>
          <w:highlight w:val="none"/>
          <w:lang w:eastAsia="zh-CN"/>
        </w:rPr>
        <w:t>响应文件</w:t>
      </w:r>
      <w:r>
        <w:rPr>
          <w:rFonts w:ascii="宋体" w:hAnsi="宋体"/>
          <w:highlight w:val="none"/>
        </w:rPr>
        <w:t>有效期内严格遵守</w:t>
      </w:r>
      <w:r>
        <w:rPr>
          <w:rFonts w:hint="eastAsia" w:ascii="宋体" w:hAnsi="宋体"/>
          <w:highlight w:val="none"/>
          <w:lang w:eastAsia="zh-CN"/>
        </w:rPr>
        <w:t>响应文件</w:t>
      </w:r>
      <w:r>
        <w:rPr>
          <w:rFonts w:ascii="宋体" w:hAnsi="宋体"/>
          <w:highlight w:val="none"/>
        </w:rPr>
        <w:t>的各项承诺。在此期限届满之前，本</w:t>
      </w:r>
      <w:r>
        <w:rPr>
          <w:rFonts w:hint="eastAsia" w:ascii="宋体" w:hAnsi="宋体"/>
          <w:highlight w:val="none"/>
          <w:lang w:eastAsia="zh-CN"/>
        </w:rPr>
        <w:t>响应文件</w:t>
      </w:r>
      <w:r>
        <w:rPr>
          <w:rFonts w:ascii="宋体" w:hAnsi="宋体"/>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4、在合同书正式签署生效之前，本</w:t>
      </w:r>
      <w:r>
        <w:rPr>
          <w:rFonts w:hint="eastAsia" w:ascii="宋体" w:hAnsi="宋体"/>
          <w:highlight w:val="none"/>
          <w:lang w:eastAsia="zh-CN"/>
        </w:rPr>
        <w:t>响应文件</w:t>
      </w:r>
      <w:r>
        <w:rPr>
          <w:rFonts w:ascii="宋体" w:hAnsi="宋体"/>
          <w:highlight w:val="none"/>
        </w:rPr>
        <w:t>连同你单位的</w:t>
      </w:r>
      <w:r>
        <w:rPr>
          <w:rFonts w:hint="eastAsia" w:ascii="宋体" w:hAnsi="宋体"/>
          <w:highlight w:val="none"/>
          <w:lang w:eastAsia="zh-CN"/>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采购文件的规定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9、我方承诺，未经客服公司书面同意，</w:t>
      </w:r>
      <w:r>
        <w:rPr>
          <w:rFonts w:hint="eastAsia"/>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eastAsia"/>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10、我方承诺，未经客服公司书面同意，</w:t>
      </w:r>
      <w:r>
        <w:rPr>
          <w:rFonts w:hint="eastAsia"/>
          <w:highlight w:val="none"/>
        </w:rPr>
        <w:t>不得在对外发布时使用、复制和伪造</w:t>
      </w:r>
      <w:r>
        <w:rPr>
          <w:rFonts w:hint="eastAsia"/>
          <w:highlight w:val="none"/>
          <w:lang w:eastAsia="zh-CN"/>
        </w:rPr>
        <w:t>委托方</w:t>
      </w:r>
      <w:r>
        <w:rPr>
          <w:rFonts w:hint="eastAsia"/>
          <w:highlight w:val="none"/>
        </w:rPr>
        <w:t>及中国商飞已申请或注册的商标，包括</w:t>
      </w:r>
      <w:r>
        <w:rPr>
          <w:rFonts w:hint="eastAsia"/>
          <w:highlight w:val="none"/>
          <w:lang w:eastAsia="zh-CN"/>
        </w:rPr>
        <w:t>委托方</w:t>
      </w:r>
      <w:r>
        <w:rPr>
          <w:rFonts w:hint="eastAsia"/>
          <w:highlight w:val="none"/>
        </w:rPr>
        <w:t>中国商飞公司名称、相关标识及项目名称，或与飞机、产品或服务有关的标识</w:t>
      </w:r>
      <w:r>
        <w:rPr>
          <w:rFonts w:hint="eastAsia"/>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spacing w:line="360" w:lineRule="auto"/>
        <w:textAlignment w:val="auto"/>
        <w:outlineLvl w:val="9"/>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ascii="宋体" w:hAnsi="宋体"/>
          <w:highlight w:val="none"/>
        </w:rPr>
        <w:t xml:space="preserve">联系电话（传真）：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highlight w:val="none"/>
        </w:rPr>
      </w:pPr>
      <w:r>
        <w:rPr>
          <w:rFonts w:hint="eastAsia" w:ascii="宋体" w:hAnsi="宋体"/>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bookmarkStart w:id="16" w:name="_Hlk35922021"/>
      <w:r>
        <w:rPr>
          <w:rFonts w:hint="eastAsia" w:ascii="黑体" w:hAnsi="宋体" w:eastAsia="黑体"/>
          <w:sz w:val="30"/>
          <w:szCs w:val="30"/>
          <w:highlight w:val="none"/>
          <w:lang w:val="en-US" w:eastAsia="zh-CN"/>
        </w:rPr>
        <w:t>二、</w:t>
      </w:r>
      <w:bookmarkEnd w:id="16"/>
      <w:r>
        <w:rPr>
          <w:rFonts w:hint="eastAsia" w:ascii="黑体" w:hAnsi="宋体" w:eastAsia="黑体"/>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sz w:val="28"/>
          <w:szCs w:val="28"/>
          <w:highlight w:val="none"/>
          <w:lang w:val="en-US" w:eastAsia="zh-CN"/>
        </w:rPr>
      </w:pPr>
      <w:r>
        <w:rPr>
          <w:rFonts w:hint="eastAsia" w:ascii="宋体" w:hAnsi="宋体"/>
          <w:sz w:val="28"/>
          <w:szCs w:val="28"/>
          <w:highlight w:val="none"/>
        </w:rPr>
        <w:t>1、报价一览表</w:t>
      </w:r>
    </w:p>
    <w:tbl>
      <w:tblPr>
        <w:tblStyle w:val="33"/>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9"/>
        <w:gridCol w:w="1353"/>
        <w:gridCol w:w="1361"/>
        <w:gridCol w:w="2198"/>
        <w:gridCol w:w="1074"/>
        <w:gridCol w:w="138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04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53"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服务项目</w:t>
            </w:r>
          </w:p>
        </w:tc>
        <w:tc>
          <w:tcPr>
            <w:tcW w:w="136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租赁面积</w:t>
            </w:r>
          </w:p>
        </w:tc>
        <w:tc>
          <w:tcPr>
            <w:tcW w:w="219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w:t>
            </w:r>
          </w:p>
        </w:tc>
        <w:tc>
          <w:tcPr>
            <w:tcW w:w="10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租期</w:t>
            </w:r>
          </w:p>
        </w:tc>
        <w:tc>
          <w:tcPr>
            <w:tcW w:w="13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合价</w:t>
            </w:r>
          </w:p>
        </w:tc>
        <w:tc>
          <w:tcPr>
            <w:tcW w:w="82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4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53"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（平方米）</w:t>
            </w:r>
          </w:p>
        </w:tc>
        <w:tc>
          <w:tcPr>
            <w:tcW w:w="219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（含税：元/平米/年）</w:t>
            </w:r>
          </w:p>
        </w:tc>
        <w:tc>
          <w:tcPr>
            <w:tcW w:w="10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w:t>
            </w:r>
          </w:p>
        </w:tc>
        <w:tc>
          <w:tcPr>
            <w:tcW w:w="13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（含税：元）</w:t>
            </w:r>
          </w:p>
        </w:tc>
        <w:tc>
          <w:tcPr>
            <w:tcW w:w="82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4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5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仓库租赁费</w:t>
            </w:r>
          </w:p>
        </w:tc>
        <w:tc>
          <w:tcPr>
            <w:tcW w:w="1361"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9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074"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2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104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总报价</w:t>
            </w:r>
          </w:p>
        </w:tc>
        <w:tc>
          <w:tcPr>
            <w:tcW w:w="8191" w:type="dxa"/>
            <w:gridSpan w:val="6"/>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191" w:type="dxa"/>
            <w:gridSpan w:val="6"/>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9240" w:type="dxa"/>
            <w:gridSpan w:val="7"/>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等线" w:hAnsi="等线"/>
          <w:szCs w:val="21"/>
          <w:highlight w:val="none"/>
        </w:rPr>
      </w:pPr>
      <w:r>
        <w:rPr>
          <w:rFonts w:hint="eastAsia" w:ascii="仿宋_GB2312" w:hAnsi="宋体" w:eastAsia="仿宋_GB2312"/>
          <w:b/>
          <w:szCs w:val="21"/>
          <w:highlight w:val="none"/>
        </w:rPr>
        <w:t>说明</w:t>
      </w:r>
      <w:r>
        <w:rPr>
          <w:rFonts w:hint="eastAsia" w:ascii="仿宋_GB2312" w:hAnsi="宋体" w:eastAsia="仿宋_GB2312"/>
          <w:szCs w:val="21"/>
          <w:highlight w:val="none"/>
        </w:rPr>
        <w:t>：</w:t>
      </w:r>
      <w:r>
        <w:rPr>
          <w:rFonts w:hint="eastAsia" w:ascii="等线" w:hAnsi="等线"/>
          <w:szCs w:val="21"/>
          <w:highlight w:val="none"/>
        </w:rPr>
        <w:t>（1）所有价格精确到</w:t>
      </w:r>
      <w:r>
        <w:rPr>
          <w:rFonts w:hint="eastAsia" w:ascii="等线" w:hAnsi="等线"/>
          <w:szCs w:val="21"/>
          <w:highlight w:val="none"/>
          <w:lang w:eastAsia="zh-CN"/>
        </w:rPr>
        <w:t>小数点后</w:t>
      </w:r>
      <w:r>
        <w:rPr>
          <w:rFonts w:hint="eastAsia" w:ascii="等线" w:hAnsi="等线"/>
          <w:szCs w:val="21"/>
          <w:highlight w:val="none"/>
          <w:lang w:val="en-US" w:eastAsia="zh-CN"/>
        </w:rPr>
        <w:t>2</w:t>
      </w:r>
      <w:r>
        <w:rPr>
          <w:rFonts w:hint="eastAsia" w:ascii="等线" w:hAnsi="等线"/>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（2）价格应按照竞争性谈判采购文件的要求报价</w:t>
      </w:r>
      <w:r>
        <w:rPr>
          <w:rFonts w:hint="eastAsia" w:ascii="等线" w:hAnsi="等线"/>
          <w:szCs w:val="21"/>
          <w:highlight w:val="none"/>
          <w:lang w:eastAsia="zh-CN"/>
        </w:rPr>
        <w:t>、</w:t>
      </w:r>
      <w:r>
        <w:rPr>
          <w:rFonts w:hint="eastAsia" w:ascii="等线" w:hAnsi="等线"/>
          <w:szCs w:val="21"/>
          <w:highlight w:val="none"/>
          <w:lang w:val="en-US" w:eastAsia="zh-CN"/>
        </w:rPr>
        <w:t>并包含所有费用</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仿宋_GB2312" w:hAnsi="宋体" w:eastAsia="仿宋_GB2312"/>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highlight w:val="none"/>
        </w:rPr>
        <w:sectPr>
          <w:pgSz w:w="11906" w:h="16838"/>
          <w:pgMar w:top="1803" w:right="1440" w:bottom="1803" w:left="1440" w:header="851" w:footer="992" w:gutter="0"/>
          <w:cols w:space="720" w:num="1"/>
          <w:rtlGutter w:val="0"/>
          <w:docGrid w:linePitch="315" w:charSpace="0"/>
        </w:sectPr>
      </w:pPr>
      <w:r>
        <w:rPr>
          <w:rFonts w:ascii="宋体" w:hAnsi="宋体"/>
          <w:szCs w:val="21"/>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33"/>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33"/>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宋体" w:hAnsi="宋体"/>
          <w:b/>
          <w:bCs/>
          <w:sz w:val="24"/>
          <w:highlight w:val="none"/>
        </w:rPr>
      </w:pPr>
      <w:r>
        <w:rPr>
          <w:rFonts w:hint="eastAsia" w:ascii="宋体" w:hAnsi="宋体"/>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eastAsia" w:ascii="宋体" w:hAnsi="宋体"/>
          <w:b/>
          <w:bCs/>
          <w:sz w:val="24"/>
          <w:highlight w:val="none"/>
        </w:rPr>
        <w:sectPr>
          <w:headerReference r:id="rId4" w:type="default"/>
          <w:footerReference r:id="rId5" w:type="default"/>
          <w:type w:val="continuous"/>
          <w:pgSz w:w="16838" w:h="11906" w:orient="landscape"/>
          <w:pgMar w:top="1440" w:right="1803" w:bottom="1440" w:left="1803"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五、法定代表人声明（适用于法定代表人响应）</w:t>
      </w: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color w:val="0D0D0D"/>
          <w:sz w:val="36"/>
          <w:szCs w:val="36"/>
          <w:highlight w:val="none"/>
          <w:lang w:eastAsia="zh-CN"/>
        </w:rPr>
      </w:pPr>
      <w:r>
        <w:rPr>
          <w:rFonts w:hint="eastAsia" w:ascii="方正小标宋简体" w:hAnsi="方正小标宋简体" w:eastAsia="方正小标宋简体" w:cs="方正小标宋简体"/>
          <w:b/>
          <w:sz w:val="36"/>
          <w:szCs w:val="36"/>
          <w:highlight w:val="none"/>
        </w:rPr>
        <w:t>法定代表人</w:t>
      </w:r>
      <w:r>
        <w:rPr>
          <w:rFonts w:hint="eastAsia" w:ascii="方正小标宋简体" w:hAnsi="方正小标宋简体" w:eastAsia="方正小标宋简体" w:cs="方正小标宋简体"/>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法定代表人，职务为</w:t>
      </w:r>
      <w:r>
        <w:rPr>
          <w:rFonts w:ascii="宋体" w:hAnsi="宋体"/>
          <w:sz w:val="24"/>
          <w:szCs w:val="24"/>
          <w:highlight w:val="none"/>
          <w:u w:val="single"/>
        </w:rPr>
        <w:t>（职务名称）</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ascii="宋体" w:hAnsi="宋体"/>
          <w:sz w:val="24"/>
          <w:szCs w:val="24"/>
          <w:highlight w:val="none"/>
        </w:rPr>
        <w:t>特此</w:t>
      </w:r>
      <w:r>
        <w:rPr>
          <w:rFonts w:hint="eastAsia" w:ascii="宋体" w:hAnsi="宋体"/>
          <w:sz w:val="24"/>
          <w:szCs w:val="24"/>
          <w:highlight w:val="none"/>
          <w:lang w:eastAsia="zh-CN"/>
        </w:rPr>
        <w:t>声明</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b/>
          <w:sz w:val="24"/>
          <w:szCs w:val="24"/>
          <w:highlight w:val="none"/>
        </w:rPr>
        <w:br w:type="page"/>
      </w:r>
      <w:r>
        <w:rPr>
          <w:rFonts w:hint="eastAsia" w:ascii="黑体" w:hAnsi="宋体" w:eastAsia="黑体"/>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宋体" w:hAnsi="宋体"/>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sz w:val="36"/>
          <w:szCs w:val="36"/>
          <w:highlight w:val="none"/>
        </w:rPr>
      </w:pPr>
      <w:bookmarkStart w:id="17" w:name="_Hlk35921581"/>
      <w:r>
        <w:rPr>
          <w:rFonts w:hint="eastAsia" w:ascii="方正小标宋简体" w:hAnsi="方正小标宋简体" w:eastAsia="方正小标宋简体" w:cs="方正小标宋简体"/>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eastAsia="微软雅黑"/>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w:t>
      </w:r>
      <w:r>
        <w:rPr>
          <w:rFonts w:hint="eastAsia" w:ascii="宋体" w:hAnsi="宋体"/>
          <w:sz w:val="24"/>
          <w:szCs w:val="24"/>
          <w:highlight w:val="none"/>
          <w:lang w:eastAsia="zh-CN"/>
        </w:rPr>
        <w:t>，</w:t>
      </w:r>
      <w:r>
        <w:rPr>
          <w:rFonts w:hint="eastAsia" w:ascii="宋体" w:hAnsi="宋体"/>
          <w:sz w:val="24"/>
          <w:szCs w:val="24"/>
          <w:highlight w:val="none"/>
          <w:u w:val="none"/>
          <w:lang w:eastAsia="zh-CN"/>
        </w:rPr>
        <w:t>现授权委托</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w:t>
      </w:r>
      <w:r>
        <w:rPr>
          <w:rFonts w:hint="eastAsia" w:ascii="宋体" w:hAnsi="宋体"/>
          <w:sz w:val="24"/>
          <w:szCs w:val="24"/>
          <w:highlight w:val="none"/>
          <w:u w:val="single"/>
          <w:lang w:eastAsia="zh-CN"/>
        </w:rPr>
        <w:t>授权委托</w:t>
      </w:r>
      <w:r>
        <w:rPr>
          <w:rFonts w:ascii="宋体" w:hAnsi="宋体"/>
          <w:sz w:val="24"/>
          <w:szCs w:val="24"/>
          <w:highlight w:val="none"/>
          <w:u w:val="single"/>
        </w:rPr>
        <w:t>人姓名）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为我方授权委托人，参加</w:t>
      </w:r>
      <w:r>
        <w:rPr>
          <w:rFonts w:hint="eastAsia" w:ascii="宋体" w:hAnsi="宋体"/>
          <w:sz w:val="24"/>
          <w:szCs w:val="24"/>
          <w:highlight w:val="none"/>
          <w:u w:val="single"/>
          <w:lang w:val="en-US" w:eastAsia="zh-CN"/>
        </w:rPr>
        <w:t xml:space="preserve">  昆明库房租赁与服务 </w:t>
      </w:r>
      <w:r>
        <w:rPr>
          <w:rFonts w:hint="eastAsia" w:ascii="宋体" w:hAnsi="宋体"/>
          <w:sz w:val="24"/>
          <w:szCs w:val="24"/>
          <w:highlight w:val="none"/>
          <w:u w:val="none"/>
          <w:lang w:eastAsia="zh-CN"/>
        </w:rPr>
        <w:t>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 xml:space="preserve">     授权委托人身份证复印件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bookmarkEnd w:id="17"/>
    </w:p>
    <w:p>
      <w:pPr>
        <w:keepNext w:val="0"/>
        <w:keepLines w:val="0"/>
        <w:pageBreakBefore w:val="0"/>
        <w:kinsoku/>
        <w:overflowPunct/>
        <w:topLinePunct w:val="0"/>
        <w:autoSpaceDE/>
        <w:autoSpaceDN/>
        <w:bidi w:val="0"/>
        <w:spacing w:line="300" w:lineRule="auto"/>
        <w:ind w:right="420"/>
        <w:jc w:val="center"/>
        <w:textAlignment w:val="auto"/>
        <w:outlineLvl w:val="9"/>
        <w:rPr>
          <w:rFonts w:hint="eastAsia" w:ascii="宋体" w:hAnsi="宋体"/>
          <w:sz w:val="24"/>
          <w:szCs w:val="24"/>
          <w:highlight w:val="none"/>
          <w:lang w:eastAsia="zh-CN"/>
        </w:rPr>
      </w:pPr>
      <w:r>
        <w:rPr>
          <w:rFonts w:ascii="宋体" w:hAnsi="宋体"/>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七、廉洁协议</w:t>
      </w:r>
    </w:p>
    <w:p>
      <w:pPr>
        <w:snapToGrid w:val="0"/>
        <w:spacing w:line="560" w:lineRule="exact"/>
        <w:rPr>
          <w:rFonts w:ascii="仿宋_GB2312"/>
          <w:szCs w:val="32"/>
          <w:highlight w:val="none"/>
        </w:rPr>
      </w:pPr>
      <w:r>
        <w:rPr>
          <w:rFonts w:hint="eastAsia" w:ascii="仿宋_GB2312"/>
          <w:szCs w:val="32"/>
          <w:highlight w:val="none"/>
        </w:rPr>
        <w:t>项目名称：</w:t>
      </w:r>
      <w:r>
        <w:rPr>
          <w:rFonts w:hint="eastAsia" w:ascii="仿宋_GB2312"/>
          <w:szCs w:val="32"/>
          <w:highlight w:val="none"/>
          <w:lang w:val="en-US" w:eastAsia="zh-CN"/>
        </w:rPr>
        <w:t>昆明库房租赁与服务</w:t>
      </w:r>
      <w:r>
        <w:rPr>
          <w:rFonts w:hint="eastAsia" w:ascii="仿宋_GB2312"/>
          <w:szCs w:val="32"/>
          <w:highlight w:val="none"/>
        </w:rPr>
        <w:t xml:space="preserve">                                     </w:t>
      </w:r>
    </w:p>
    <w:p>
      <w:pPr>
        <w:snapToGrid w:val="0"/>
        <w:spacing w:line="560" w:lineRule="exact"/>
        <w:rPr>
          <w:rFonts w:hint="eastAsia" w:ascii="仿宋_GB2312" w:eastAsia="宋体"/>
          <w:szCs w:val="32"/>
          <w:highlight w:val="none"/>
          <w:lang w:val="en-US" w:eastAsia="zh-CN"/>
        </w:rPr>
      </w:pPr>
      <w:bookmarkStart w:id="18" w:name="_Toc11341_WPSOffice_Level1"/>
      <w:bookmarkStart w:id="19" w:name="_Toc26253_WPSOffice_Level1"/>
      <w:bookmarkStart w:id="20" w:name="_Toc11907_WPSOffice_Level1"/>
      <w:r>
        <w:rPr>
          <w:rFonts w:hint="eastAsia" w:ascii="仿宋_GB2312"/>
          <w:szCs w:val="32"/>
          <w:highlight w:val="none"/>
        </w:rPr>
        <w:t>甲  方：</w:t>
      </w:r>
      <w:bookmarkEnd w:id="18"/>
      <w:bookmarkEnd w:id="19"/>
      <w:bookmarkEnd w:id="20"/>
      <w:r>
        <w:rPr>
          <w:rFonts w:hint="eastAsia" w:ascii="仿宋_GB2312"/>
          <w:szCs w:val="32"/>
          <w:highlight w:val="none"/>
          <w:lang w:val="en-US" w:eastAsia="zh-CN"/>
        </w:rPr>
        <w:t>上海飞机客户服务有限公司</w:t>
      </w:r>
    </w:p>
    <w:p>
      <w:pPr>
        <w:snapToGrid w:val="0"/>
        <w:spacing w:line="560" w:lineRule="exact"/>
        <w:rPr>
          <w:rFonts w:ascii="仿宋_GB2312"/>
          <w:szCs w:val="32"/>
          <w:highlight w:val="none"/>
        </w:rPr>
      </w:pPr>
      <w:bookmarkStart w:id="21" w:name="_Toc27021_WPSOffice_Level1"/>
      <w:bookmarkStart w:id="22" w:name="_Toc31341_WPSOffice_Level1"/>
      <w:bookmarkStart w:id="23" w:name="_Toc25445_WPSOffice_Level1"/>
      <w:r>
        <w:rPr>
          <w:rFonts w:hint="eastAsia" w:ascii="仿宋_GB2312"/>
          <w:szCs w:val="32"/>
          <w:highlight w:val="none"/>
        </w:rPr>
        <w:t>乙  方：</w:t>
      </w:r>
      <w:bookmarkEnd w:id="21"/>
      <w:bookmarkEnd w:id="22"/>
      <w:bookmarkEnd w:id="23"/>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七、本协议作为</w:t>
      </w:r>
      <w:r>
        <w:rPr>
          <w:rFonts w:hint="eastAsia" w:ascii="宋体" w:hAnsi="宋体"/>
          <w:sz w:val="24"/>
          <w:szCs w:val="24"/>
          <w:highlight w:val="none"/>
          <w:u w:val="none"/>
          <w:lang w:val="en-US" w:eastAsia="zh-CN"/>
        </w:rPr>
        <w:t>本</w:t>
      </w:r>
      <w:r>
        <w:rPr>
          <w:rFonts w:hint="eastAsia" w:ascii="宋体" w:hAnsi="宋体"/>
          <w:sz w:val="24"/>
          <w:szCs w:val="24"/>
          <w:highlight w:val="none"/>
          <w:u w:val="none"/>
          <w:lang w:eastAsia="zh-CN"/>
        </w:rPr>
        <w:t>合同的附件，具有与其同等的法律效力。</w:t>
      </w:r>
    </w:p>
    <w:sectPr>
      <w:type w:val="continuous"/>
      <w:pgSz w:w="11906" w:h="16838"/>
      <w:pgMar w:top="1803" w:right="1440" w:bottom="1803" w:left="1440" w:header="851" w:footer="992" w:gutter="0"/>
      <w:cols w:space="72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8504C"/>
    <w:multiLevelType w:val="singleLevel"/>
    <w:tmpl w:val="8AA8504C"/>
    <w:lvl w:ilvl="0" w:tentative="0">
      <w:start w:val="1"/>
      <w:numFmt w:val="decimal"/>
      <w:lvlText w:val="%1."/>
      <w:lvlJc w:val="left"/>
      <w:pPr>
        <w:tabs>
          <w:tab w:val="left" w:pos="312"/>
        </w:tabs>
      </w:pPr>
    </w:lvl>
  </w:abstractNum>
  <w:abstractNum w:abstractNumId="1">
    <w:nsid w:val="8BFC8FD0"/>
    <w:multiLevelType w:val="singleLevel"/>
    <w:tmpl w:val="8BFC8FD0"/>
    <w:lvl w:ilvl="0" w:tentative="0">
      <w:start w:val="1"/>
      <w:numFmt w:val="decimal"/>
      <w:lvlText w:val="%1)"/>
      <w:lvlJc w:val="left"/>
      <w:pPr>
        <w:ind w:left="425" w:hanging="425"/>
      </w:pPr>
      <w:rPr>
        <w:rFonts w:hint="default"/>
      </w:rPr>
    </w:lvl>
  </w:abstractNum>
  <w:abstractNum w:abstractNumId="2">
    <w:nsid w:val="8D46A7DA"/>
    <w:multiLevelType w:val="singleLevel"/>
    <w:tmpl w:val="8D46A7DA"/>
    <w:lvl w:ilvl="0" w:tentative="0">
      <w:start w:val="1"/>
      <w:numFmt w:val="decimal"/>
      <w:suff w:val="nothing"/>
      <w:lvlText w:val="（%1）"/>
      <w:lvlJc w:val="left"/>
    </w:lvl>
  </w:abstractNum>
  <w:abstractNum w:abstractNumId="3">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4">
    <w:nsid w:val="9B3668D3"/>
    <w:multiLevelType w:val="singleLevel"/>
    <w:tmpl w:val="9B3668D3"/>
    <w:lvl w:ilvl="0" w:tentative="0">
      <w:start w:val="1"/>
      <w:numFmt w:val="decimal"/>
      <w:suff w:val="nothing"/>
      <w:lvlText w:val="（%1）"/>
      <w:lvlJc w:val="left"/>
    </w:lvl>
  </w:abstractNum>
  <w:abstractNum w:abstractNumId="5">
    <w:nsid w:val="A081329F"/>
    <w:multiLevelType w:val="singleLevel"/>
    <w:tmpl w:val="A081329F"/>
    <w:lvl w:ilvl="0" w:tentative="0">
      <w:start w:val="1"/>
      <w:numFmt w:val="decimal"/>
      <w:lvlText w:val="%1)"/>
      <w:lvlJc w:val="left"/>
      <w:pPr>
        <w:ind w:left="425" w:hanging="425"/>
      </w:pPr>
      <w:rPr>
        <w:rFonts w:hint="default"/>
      </w:rPr>
    </w:lvl>
  </w:abstractNum>
  <w:abstractNum w:abstractNumId="6">
    <w:nsid w:val="AC252D41"/>
    <w:multiLevelType w:val="singleLevel"/>
    <w:tmpl w:val="AC252D41"/>
    <w:lvl w:ilvl="0" w:tentative="0">
      <w:start w:val="1"/>
      <w:numFmt w:val="decimal"/>
      <w:lvlText w:val="%1)"/>
      <w:lvlJc w:val="left"/>
      <w:pPr>
        <w:ind w:left="425" w:hanging="425"/>
      </w:pPr>
      <w:rPr>
        <w:rFonts w:hint="default"/>
      </w:rPr>
    </w:lvl>
  </w:abstractNum>
  <w:abstractNum w:abstractNumId="7">
    <w:nsid w:val="B38B9825"/>
    <w:multiLevelType w:val="singleLevel"/>
    <w:tmpl w:val="B38B9825"/>
    <w:lvl w:ilvl="0" w:tentative="0">
      <w:start w:val="1"/>
      <w:numFmt w:val="lowerLetter"/>
      <w:lvlText w:val="%1."/>
      <w:lvlJc w:val="left"/>
      <w:pPr>
        <w:ind w:left="425" w:hanging="425"/>
      </w:pPr>
      <w:rPr>
        <w:rFonts w:hint="default"/>
      </w:rPr>
    </w:lvl>
  </w:abstractNum>
  <w:abstractNum w:abstractNumId="8">
    <w:nsid w:val="D57742C5"/>
    <w:multiLevelType w:val="singleLevel"/>
    <w:tmpl w:val="D57742C5"/>
    <w:lvl w:ilvl="0" w:tentative="0">
      <w:start w:val="1"/>
      <w:numFmt w:val="decimal"/>
      <w:suff w:val="nothing"/>
      <w:lvlText w:val="（%1）"/>
      <w:lvlJc w:val="left"/>
    </w:lvl>
  </w:abstractNum>
  <w:abstractNum w:abstractNumId="9">
    <w:nsid w:val="EECD0AED"/>
    <w:multiLevelType w:val="singleLevel"/>
    <w:tmpl w:val="EECD0AED"/>
    <w:lvl w:ilvl="0" w:tentative="0">
      <w:start w:val="1"/>
      <w:numFmt w:val="decimal"/>
      <w:suff w:val="nothing"/>
      <w:lvlText w:val="（%1）"/>
      <w:lvlJc w:val="left"/>
    </w:lvl>
  </w:abstractNum>
  <w:abstractNum w:abstractNumId="10">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1">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2">
    <w:nsid w:val="323DA0C3"/>
    <w:multiLevelType w:val="singleLevel"/>
    <w:tmpl w:val="323DA0C3"/>
    <w:lvl w:ilvl="0" w:tentative="0">
      <w:start w:val="1"/>
      <w:numFmt w:val="decimal"/>
      <w:suff w:val="nothing"/>
      <w:lvlText w:val="%1）"/>
      <w:lvlJc w:val="left"/>
    </w:lvl>
  </w:abstractNum>
  <w:abstractNum w:abstractNumId="13">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4">
    <w:nsid w:val="5BE9E2F8"/>
    <w:multiLevelType w:val="singleLevel"/>
    <w:tmpl w:val="5BE9E2F8"/>
    <w:lvl w:ilvl="0" w:tentative="0">
      <w:start w:val="1"/>
      <w:numFmt w:val="lowerLetter"/>
      <w:lvlText w:val="%1."/>
      <w:lvlJc w:val="left"/>
      <w:pPr>
        <w:ind w:left="425" w:hanging="425"/>
      </w:pPr>
      <w:rPr>
        <w:rFonts w:hint="default"/>
      </w:rPr>
    </w:lvl>
  </w:abstractNum>
  <w:abstractNum w:abstractNumId="15">
    <w:nsid w:val="7318D1E3"/>
    <w:multiLevelType w:val="singleLevel"/>
    <w:tmpl w:val="7318D1E3"/>
    <w:lvl w:ilvl="0" w:tentative="0">
      <w:start w:val="1"/>
      <w:numFmt w:val="decimal"/>
      <w:suff w:val="nothing"/>
      <w:lvlText w:val="（%1）"/>
      <w:lvlJc w:val="left"/>
    </w:lvl>
  </w:abstractNum>
  <w:abstractNum w:abstractNumId="16">
    <w:nsid w:val="748CE7CD"/>
    <w:multiLevelType w:val="singleLevel"/>
    <w:tmpl w:val="748CE7CD"/>
    <w:lvl w:ilvl="0" w:tentative="0">
      <w:start w:val="1"/>
      <w:numFmt w:val="decimal"/>
      <w:suff w:val="nothing"/>
      <w:lvlText w:val="（%1）"/>
      <w:lvlJc w:val="left"/>
    </w:lvl>
  </w:abstractNum>
  <w:abstractNum w:abstractNumId="17">
    <w:nsid w:val="752F6DD9"/>
    <w:multiLevelType w:val="singleLevel"/>
    <w:tmpl w:val="752F6DD9"/>
    <w:lvl w:ilvl="0" w:tentative="0">
      <w:start w:val="1"/>
      <w:numFmt w:val="decimal"/>
      <w:lvlText w:val="%1)"/>
      <w:lvlJc w:val="left"/>
      <w:pPr>
        <w:ind w:left="425" w:hanging="425"/>
      </w:pPr>
      <w:rPr>
        <w:rFonts w:hint="default"/>
      </w:rPr>
    </w:lvl>
  </w:abstractNum>
  <w:num w:numId="1">
    <w:abstractNumId w:val="3"/>
  </w:num>
  <w:num w:numId="2">
    <w:abstractNumId w:val="6"/>
  </w:num>
  <w:num w:numId="3">
    <w:abstractNumId w:val="17"/>
  </w:num>
  <w:num w:numId="4">
    <w:abstractNumId w:val="2"/>
  </w:num>
  <w:num w:numId="5">
    <w:abstractNumId w:val="1"/>
  </w:num>
  <w:num w:numId="6">
    <w:abstractNumId w:val="5"/>
  </w:num>
  <w:num w:numId="7">
    <w:abstractNumId w:val="13"/>
  </w:num>
  <w:num w:numId="8">
    <w:abstractNumId w:val="12"/>
  </w:num>
  <w:num w:numId="9">
    <w:abstractNumId w:val="15"/>
  </w:num>
  <w:num w:numId="10">
    <w:abstractNumId w:val="9"/>
  </w:num>
  <w:num w:numId="11">
    <w:abstractNumId w:val="11"/>
  </w:num>
  <w:num w:numId="12">
    <w:abstractNumId w:val="14"/>
  </w:num>
  <w:num w:numId="13">
    <w:abstractNumId w:val="7"/>
  </w:num>
  <w:num w:numId="14">
    <w:abstractNumId w:val="10"/>
  </w:num>
  <w:num w:numId="15">
    <w:abstractNumId w:val="8"/>
  </w:num>
  <w:num w:numId="16">
    <w:abstractNumId w:val="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5830"/>
    <w:rsid w:val="004C5D83"/>
    <w:rsid w:val="004C5E28"/>
    <w:rsid w:val="004C6B33"/>
    <w:rsid w:val="004D5358"/>
    <w:rsid w:val="004D6E51"/>
    <w:rsid w:val="004D75E9"/>
    <w:rsid w:val="004E3D9A"/>
    <w:rsid w:val="004E4AD1"/>
    <w:rsid w:val="004E4CF5"/>
    <w:rsid w:val="004F1198"/>
    <w:rsid w:val="004F1805"/>
    <w:rsid w:val="004F221A"/>
    <w:rsid w:val="004F42CA"/>
    <w:rsid w:val="005004A7"/>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1D1C"/>
    <w:rsid w:val="00A73F75"/>
    <w:rsid w:val="00A74FFE"/>
    <w:rsid w:val="00A8017A"/>
    <w:rsid w:val="00A85140"/>
    <w:rsid w:val="00A86CB5"/>
    <w:rsid w:val="00A90FB1"/>
    <w:rsid w:val="00A921D3"/>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7FCF"/>
    <w:rsid w:val="00B712B6"/>
    <w:rsid w:val="00B72B29"/>
    <w:rsid w:val="00B766A9"/>
    <w:rsid w:val="00B82B74"/>
    <w:rsid w:val="00B834A9"/>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7B0"/>
    <w:rsid w:val="00F70BF1"/>
    <w:rsid w:val="00F779D3"/>
    <w:rsid w:val="00F81236"/>
    <w:rsid w:val="00F81AF7"/>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E77EF4"/>
    <w:rsid w:val="043470C7"/>
    <w:rsid w:val="04500139"/>
    <w:rsid w:val="04AC1897"/>
    <w:rsid w:val="051D437B"/>
    <w:rsid w:val="055923CE"/>
    <w:rsid w:val="05A2584B"/>
    <w:rsid w:val="05CE08B1"/>
    <w:rsid w:val="06137317"/>
    <w:rsid w:val="0621036A"/>
    <w:rsid w:val="065E5F7F"/>
    <w:rsid w:val="0670360C"/>
    <w:rsid w:val="067C4E90"/>
    <w:rsid w:val="069275E1"/>
    <w:rsid w:val="06A12A56"/>
    <w:rsid w:val="06EC34E9"/>
    <w:rsid w:val="06F517F0"/>
    <w:rsid w:val="0704425F"/>
    <w:rsid w:val="071C7C62"/>
    <w:rsid w:val="072169D1"/>
    <w:rsid w:val="08DB2CD5"/>
    <w:rsid w:val="090C4141"/>
    <w:rsid w:val="091B523C"/>
    <w:rsid w:val="09381A80"/>
    <w:rsid w:val="0943333A"/>
    <w:rsid w:val="096762D6"/>
    <w:rsid w:val="0A005A35"/>
    <w:rsid w:val="0A3F657B"/>
    <w:rsid w:val="0A5E508E"/>
    <w:rsid w:val="0AC804D8"/>
    <w:rsid w:val="0B200E94"/>
    <w:rsid w:val="0B337690"/>
    <w:rsid w:val="0B4B6FA0"/>
    <w:rsid w:val="0B7979E1"/>
    <w:rsid w:val="0B7C5D95"/>
    <w:rsid w:val="0B80309F"/>
    <w:rsid w:val="0BBE4F2B"/>
    <w:rsid w:val="0BDE32ED"/>
    <w:rsid w:val="0C2F504F"/>
    <w:rsid w:val="0CCF37E3"/>
    <w:rsid w:val="0CDA4D52"/>
    <w:rsid w:val="0CF2414E"/>
    <w:rsid w:val="0D452B30"/>
    <w:rsid w:val="0D4A7508"/>
    <w:rsid w:val="0D745881"/>
    <w:rsid w:val="0D851897"/>
    <w:rsid w:val="0DAD5CE9"/>
    <w:rsid w:val="0E1516F4"/>
    <w:rsid w:val="0E53500F"/>
    <w:rsid w:val="0E5F17BF"/>
    <w:rsid w:val="0E5F6EAC"/>
    <w:rsid w:val="0F543F79"/>
    <w:rsid w:val="0FB15903"/>
    <w:rsid w:val="0FD57A0D"/>
    <w:rsid w:val="0FE060A8"/>
    <w:rsid w:val="0FE92D92"/>
    <w:rsid w:val="10D66F9B"/>
    <w:rsid w:val="10F94FB7"/>
    <w:rsid w:val="115176C4"/>
    <w:rsid w:val="1196301E"/>
    <w:rsid w:val="11A14A23"/>
    <w:rsid w:val="11B240B6"/>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4540C9"/>
    <w:rsid w:val="146174DB"/>
    <w:rsid w:val="148A37E3"/>
    <w:rsid w:val="14A43CE1"/>
    <w:rsid w:val="14C1118B"/>
    <w:rsid w:val="14E019A7"/>
    <w:rsid w:val="14E60E46"/>
    <w:rsid w:val="14E94101"/>
    <w:rsid w:val="14FE36FD"/>
    <w:rsid w:val="15174001"/>
    <w:rsid w:val="156D4456"/>
    <w:rsid w:val="15823B4A"/>
    <w:rsid w:val="16362C78"/>
    <w:rsid w:val="168579CB"/>
    <w:rsid w:val="16BD43DD"/>
    <w:rsid w:val="16DA5A6D"/>
    <w:rsid w:val="17174F31"/>
    <w:rsid w:val="173919BD"/>
    <w:rsid w:val="17756394"/>
    <w:rsid w:val="17A00ACA"/>
    <w:rsid w:val="17D651A8"/>
    <w:rsid w:val="18384C32"/>
    <w:rsid w:val="1856395B"/>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501688"/>
    <w:rsid w:val="1CDE5D4F"/>
    <w:rsid w:val="1D0704D7"/>
    <w:rsid w:val="1D8D48EF"/>
    <w:rsid w:val="1DC460EA"/>
    <w:rsid w:val="1E4D45F2"/>
    <w:rsid w:val="1F3A24AA"/>
    <w:rsid w:val="1F3B72D9"/>
    <w:rsid w:val="1F532FD0"/>
    <w:rsid w:val="202F56BC"/>
    <w:rsid w:val="2036128B"/>
    <w:rsid w:val="203B3F64"/>
    <w:rsid w:val="20446A81"/>
    <w:rsid w:val="20781CFD"/>
    <w:rsid w:val="20BE3894"/>
    <w:rsid w:val="20C30808"/>
    <w:rsid w:val="20C57325"/>
    <w:rsid w:val="20D91551"/>
    <w:rsid w:val="20F44010"/>
    <w:rsid w:val="21315EC9"/>
    <w:rsid w:val="2163494E"/>
    <w:rsid w:val="2204756D"/>
    <w:rsid w:val="223B4B41"/>
    <w:rsid w:val="224A5AB1"/>
    <w:rsid w:val="2263269E"/>
    <w:rsid w:val="22A07C3A"/>
    <w:rsid w:val="22AE014D"/>
    <w:rsid w:val="22B342AA"/>
    <w:rsid w:val="22EB1946"/>
    <w:rsid w:val="23324E68"/>
    <w:rsid w:val="23464D85"/>
    <w:rsid w:val="239E1CF6"/>
    <w:rsid w:val="23E946FC"/>
    <w:rsid w:val="23EA1AAC"/>
    <w:rsid w:val="24121853"/>
    <w:rsid w:val="244C68E1"/>
    <w:rsid w:val="24566371"/>
    <w:rsid w:val="245E1A25"/>
    <w:rsid w:val="24877038"/>
    <w:rsid w:val="24D94F91"/>
    <w:rsid w:val="25125F53"/>
    <w:rsid w:val="25387E72"/>
    <w:rsid w:val="25577ED0"/>
    <w:rsid w:val="259122AC"/>
    <w:rsid w:val="25A227A8"/>
    <w:rsid w:val="26684D52"/>
    <w:rsid w:val="266F50C2"/>
    <w:rsid w:val="269A4248"/>
    <w:rsid w:val="26A92A5C"/>
    <w:rsid w:val="270C3C8C"/>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B8B6165"/>
    <w:rsid w:val="2BD17C61"/>
    <w:rsid w:val="2BFF2352"/>
    <w:rsid w:val="2C203ACA"/>
    <w:rsid w:val="2C73418E"/>
    <w:rsid w:val="2C8A4CBD"/>
    <w:rsid w:val="2CA77337"/>
    <w:rsid w:val="2D00520D"/>
    <w:rsid w:val="2D5847BF"/>
    <w:rsid w:val="2D91716B"/>
    <w:rsid w:val="2DD10AC0"/>
    <w:rsid w:val="2DE1186A"/>
    <w:rsid w:val="2DEB6203"/>
    <w:rsid w:val="2E0B037E"/>
    <w:rsid w:val="2E12020E"/>
    <w:rsid w:val="2EEF3774"/>
    <w:rsid w:val="2F9B57AF"/>
    <w:rsid w:val="2FC52E54"/>
    <w:rsid w:val="2FE55C1B"/>
    <w:rsid w:val="2FF15986"/>
    <w:rsid w:val="306F4921"/>
    <w:rsid w:val="3126769E"/>
    <w:rsid w:val="31503526"/>
    <w:rsid w:val="319D46FC"/>
    <w:rsid w:val="31B922F7"/>
    <w:rsid w:val="31F91FD1"/>
    <w:rsid w:val="32002D3D"/>
    <w:rsid w:val="32107124"/>
    <w:rsid w:val="32D42A5C"/>
    <w:rsid w:val="32DA4CC2"/>
    <w:rsid w:val="32DE53BE"/>
    <w:rsid w:val="32E8739E"/>
    <w:rsid w:val="332E1FAC"/>
    <w:rsid w:val="3340083E"/>
    <w:rsid w:val="334208C5"/>
    <w:rsid w:val="335419FA"/>
    <w:rsid w:val="335D4CB2"/>
    <w:rsid w:val="33BD2DB5"/>
    <w:rsid w:val="33BD3BA0"/>
    <w:rsid w:val="33F14632"/>
    <w:rsid w:val="34162A51"/>
    <w:rsid w:val="341A2FA9"/>
    <w:rsid w:val="342B2DD1"/>
    <w:rsid w:val="344E2C5B"/>
    <w:rsid w:val="345A39DC"/>
    <w:rsid w:val="34954273"/>
    <w:rsid w:val="349636B7"/>
    <w:rsid w:val="355E7AAD"/>
    <w:rsid w:val="358B5E16"/>
    <w:rsid w:val="361974A5"/>
    <w:rsid w:val="368D0BC4"/>
    <w:rsid w:val="37BA5855"/>
    <w:rsid w:val="37DD7DB5"/>
    <w:rsid w:val="38191F15"/>
    <w:rsid w:val="3828658F"/>
    <w:rsid w:val="382C452C"/>
    <w:rsid w:val="38751881"/>
    <w:rsid w:val="393955E2"/>
    <w:rsid w:val="393F054C"/>
    <w:rsid w:val="39603883"/>
    <w:rsid w:val="39CE6C84"/>
    <w:rsid w:val="3A211E80"/>
    <w:rsid w:val="3A472B36"/>
    <w:rsid w:val="3A8E58C2"/>
    <w:rsid w:val="3AA730B7"/>
    <w:rsid w:val="3AA91E24"/>
    <w:rsid w:val="3AD547A6"/>
    <w:rsid w:val="3AEE09AC"/>
    <w:rsid w:val="3B0A0CCF"/>
    <w:rsid w:val="3B0D4E28"/>
    <w:rsid w:val="3B332D48"/>
    <w:rsid w:val="3B447CE3"/>
    <w:rsid w:val="3BC817D7"/>
    <w:rsid w:val="3BEA4ED6"/>
    <w:rsid w:val="3C4416C7"/>
    <w:rsid w:val="3C5B00D7"/>
    <w:rsid w:val="3C8A0C65"/>
    <w:rsid w:val="3CA70800"/>
    <w:rsid w:val="3CDF48D3"/>
    <w:rsid w:val="3CF64B27"/>
    <w:rsid w:val="3D086998"/>
    <w:rsid w:val="3D163675"/>
    <w:rsid w:val="3D242598"/>
    <w:rsid w:val="3D352A2F"/>
    <w:rsid w:val="3D437C86"/>
    <w:rsid w:val="3DA33CF8"/>
    <w:rsid w:val="3DA574A2"/>
    <w:rsid w:val="3DB06E52"/>
    <w:rsid w:val="3DB45CC8"/>
    <w:rsid w:val="3E020949"/>
    <w:rsid w:val="3E1E32B8"/>
    <w:rsid w:val="3E283E77"/>
    <w:rsid w:val="3E57494A"/>
    <w:rsid w:val="3E783174"/>
    <w:rsid w:val="3EAA76B2"/>
    <w:rsid w:val="3EF151E5"/>
    <w:rsid w:val="3F7917A8"/>
    <w:rsid w:val="3FB347AD"/>
    <w:rsid w:val="3FD873C0"/>
    <w:rsid w:val="40062050"/>
    <w:rsid w:val="40870040"/>
    <w:rsid w:val="40884A49"/>
    <w:rsid w:val="408C3D95"/>
    <w:rsid w:val="408E5170"/>
    <w:rsid w:val="40B437D5"/>
    <w:rsid w:val="40B47BD4"/>
    <w:rsid w:val="40BE1A90"/>
    <w:rsid w:val="40E75FA9"/>
    <w:rsid w:val="412A2641"/>
    <w:rsid w:val="41426A1E"/>
    <w:rsid w:val="41913657"/>
    <w:rsid w:val="41A26732"/>
    <w:rsid w:val="41D93F68"/>
    <w:rsid w:val="42525837"/>
    <w:rsid w:val="42DE485A"/>
    <w:rsid w:val="42E02846"/>
    <w:rsid w:val="43397C3E"/>
    <w:rsid w:val="43430E5B"/>
    <w:rsid w:val="4395506D"/>
    <w:rsid w:val="43BC1C5B"/>
    <w:rsid w:val="43C12084"/>
    <w:rsid w:val="43D6459A"/>
    <w:rsid w:val="43FC690E"/>
    <w:rsid w:val="44051842"/>
    <w:rsid w:val="440D6A4F"/>
    <w:rsid w:val="443F5BBB"/>
    <w:rsid w:val="4465403F"/>
    <w:rsid w:val="44C21392"/>
    <w:rsid w:val="44FB0FAC"/>
    <w:rsid w:val="451A590C"/>
    <w:rsid w:val="4540061E"/>
    <w:rsid w:val="45740B37"/>
    <w:rsid w:val="464F6CC4"/>
    <w:rsid w:val="4650709C"/>
    <w:rsid w:val="46757D3F"/>
    <w:rsid w:val="46BC55F1"/>
    <w:rsid w:val="46C415BB"/>
    <w:rsid w:val="476C65B4"/>
    <w:rsid w:val="477B4F48"/>
    <w:rsid w:val="47B70E22"/>
    <w:rsid w:val="48312377"/>
    <w:rsid w:val="483823F0"/>
    <w:rsid w:val="48920822"/>
    <w:rsid w:val="48CE03CF"/>
    <w:rsid w:val="48D27BEE"/>
    <w:rsid w:val="492A1758"/>
    <w:rsid w:val="492E569F"/>
    <w:rsid w:val="4942504E"/>
    <w:rsid w:val="49802E37"/>
    <w:rsid w:val="49B5288E"/>
    <w:rsid w:val="49C8494B"/>
    <w:rsid w:val="49D42A91"/>
    <w:rsid w:val="49D95585"/>
    <w:rsid w:val="49F7174C"/>
    <w:rsid w:val="4A1F7FB4"/>
    <w:rsid w:val="4A9D5589"/>
    <w:rsid w:val="4AAF5BC7"/>
    <w:rsid w:val="4AB769E1"/>
    <w:rsid w:val="4AF82359"/>
    <w:rsid w:val="4AFF3F1B"/>
    <w:rsid w:val="4B3319C2"/>
    <w:rsid w:val="4B81009A"/>
    <w:rsid w:val="4BB13D7C"/>
    <w:rsid w:val="4BCA763E"/>
    <w:rsid w:val="4C0E27EA"/>
    <w:rsid w:val="4CB272BC"/>
    <w:rsid w:val="4CE23669"/>
    <w:rsid w:val="4CEE653A"/>
    <w:rsid w:val="4D3168F1"/>
    <w:rsid w:val="4D6273EE"/>
    <w:rsid w:val="4E0A6DE5"/>
    <w:rsid w:val="4E0E1E1D"/>
    <w:rsid w:val="4E892901"/>
    <w:rsid w:val="4ED2389A"/>
    <w:rsid w:val="4ED84D74"/>
    <w:rsid w:val="4EFC30E6"/>
    <w:rsid w:val="4F18132B"/>
    <w:rsid w:val="4F7F7D3E"/>
    <w:rsid w:val="4F9255D1"/>
    <w:rsid w:val="4F9B322D"/>
    <w:rsid w:val="4F9D39CF"/>
    <w:rsid w:val="4FB677D0"/>
    <w:rsid w:val="5014639A"/>
    <w:rsid w:val="50B13258"/>
    <w:rsid w:val="50DA2582"/>
    <w:rsid w:val="50EE65D2"/>
    <w:rsid w:val="50F46031"/>
    <w:rsid w:val="511A5F4C"/>
    <w:rsid w:val="512319B3"/>
    <w:rsid w:val="51936A44"/>
    <w:rsid w:val="51CF5ACA"/>
    <w:rsid w:val="52781EC3"/>
    <w:rsid w:val="529F6AF7"/>
    <w:rsid w:val="52B71A9E"/>
    <w:rsid w:val="52E02F27"/>
    <w:rsid w:val="530D226F"/>
    <w:rsid w:val="53470A6E"/>
    <w:rsid w:val="536C538B"/>
    <w:rsid w:val="539377DA"/>
    <w:rsid w:val="53CF4230"/>
    <w:rsid w:val="53D475D4"/>
    <w:rsid w:val="541D6CC0"/>
    <w:rsid w:val="5443464B"/>
    <w:rsid w:val="54570633"/>
    <w:rsid w:val="54705C46"/>
    <w:rsid w:val="54A560B8"/>
    <w:rsid w:val="54DD308F"/>
    <w:rsid w:val="556C4B0C"/>
    <w:rsid w:val="56790A89"/>
    <w:rsid w:val="567C0EDE"/>
    <w:rsid w:val="56874563"/>
    <w:rsid w:val="569D3217"/>
    <w:rsid w:val="56BA69E6"/>
    <w:rsid w:val="574345D9"/>
    <w:rsid w:val="57741F4B"/>
    <w:rsid w:val="578F4BA3"/>
    <w:rsid w:val="57AE7514"/>
    <w:rsid w:val="57B71ABF"/>
    <w:rsid w:val="57E047C9"/>
    <w:rsid w:val="58676CB9"/>
    <w:rsid w:val="589F2D24"/>
    <w:rsid w:val="58D40387"/>
    <w:rsid w:val="58F92360"/>
    <w:rsid w:val="590E7106"/>
    <w:rsid w:val="59167DF8"/>
    <w:rsid w:val="591B5EDB"/>
    <w:rsid w:val="59380FD3"/>
    <w:rsid w:val="597E4EA1"/>
    <w:rsid w:val="59B42C2A"/>
    <w:rsid w:val="59C96626"/>
    <w:rsid w:val="5A586B40"/>
    <w:rsid w:val="5AA93B8D"/>
    <w:rsid w:val="5AB14087"/>
    <w:rsid w:val="5AD261F1"/>
    <w:rsid w:val="5AD8661D"/>
    <w:rsid w:val="5B3234EA"/>
    <w:rsid w:val="5BB55D66"/>
    <w:rsid w:val="5C1E6868"/>
    <w:rsid w:val="5C3558FF"/>
    <w:rsid w:val="5C6806E1"/>
    <w:rsid w:val="5C7266EF"/>
    <w:rsid w:val="5C8B05C2"/>
    <w:rsid w:val="5CC00EBB"/>
    <w:rsid w:val="5CEC747F"/>
    <w:rsid w:val="5D192B61"/>
    <w:rsid w:val="5D3A3A8E"/>
    <w:rsid w:val="5D8B73E8"/>
    <w:rsid w:val="5D980C1C"/>
    <w:rsid w:val="5D995489"/>
    <w:rsid w:val="5DB079E6"/>
    <w:rsid w:val="5DD404E3"/>
    <w:rsid w:val="5DF003F9"/>
    <w:rsid w:val="5E131A5B"/>
    <w:rsid w:val="5E74207B"/>
    <w:rsid w:val="5E9444BE"/>
    <w:rsid w:val="5EAE2A8E"/>
    <w:rsid w:val="5EBF4327"/>
    <w:rsid w:val="5F031EFE"/>
    <w:rsid w:val="5F177051"/>
    <w:rsid w:val="5F4B6CF7"/>
    <w:rsid w:val="5F4E03BF"/>
    <w:rsid w:val="5F733508"/>
    <w:rsid w:val="5FA65D2B"/>
    <w:rsid w:val="5FB60AF1"/>
    <w:rsid w:val="5FBF39E2"/>
    <w:rsid w:val="5FF10499"/>
    <w:rsid w:val="5FFA19B8"/>
    <w:rsid w:val="600A0FCC"/>
    <w:rsid w:val="607307A7"/>
    <w:rsid w:val="60B1588E"/>
    <w:rsid w:val="60E87D54"/>
    <w:rsid w:val="611430D1"/>
    <w:rsid w:val="612A6C77"/>
    <w:rsid w:val="6160329F"/>
    <w:rsid w:val="617430B6"/>
    <w:rsid w:val="619B2A7B"/>
    <w:rsid w:val="61AB599D"/>
    <w:rsid w:val="620E4923"/>
    <w:rsid w:val="6237380D"/>
    <w:rsid w:val="6240283F"/>
    <w:rsid w:val="62A05B67"/>
    <w:rsid w:val="62DB5692"/>
    <w:rsid w:val="62ED43B5"/>
    <w:rsid w:val="62F23955"/>
    <w:rsid w:val="62F903B5"/>
    <w:rsid w:val="63C02B07"/>
    <w:rsid w:val="64557D2B"/>
    <w:rsid w:val="64AE2D29"/>
    <w:rsid w:val="65354C04"/>
    <w:rsid w:val="655A788A"/>
    <w:rsid w:val="65E94704"/>
    <w:rsid w:val="66D336B8"/>
    <w:rsid w:val="6709159B"/>
    <w:rsid w:val="671C3839"/>
    <w:rsid w:val="672C1EBA"/>
    <w:rsid w:val="673A6B86"/>
    <w:rsid w:val="674E77BF"/>
    <w:rsid w:val="675515D2"/>
    <w:rsid w:val="677055CA"/>
    <w:rsid w:val="678E0367"/>
    <w:rsid w:val="679369A3"/>
    <w:rsid w:val="679961AA"/>
    <w:rsid w:val="67B760D2"/>
    <w:rsid w:val="67EF661F"/>
    <w:rsid w:val="682929B5"/>
    <w:rsid w:val="682F6EAD"/>
    <w:rsid w:val="68515C67"/>
    <w:rsid w:val="68BE3EA3"/>
    <w:rsid w:val="69180420"/>
    <w:rsid w:val="69347E1B"/>
    <w:rsid w:val="694E5040"/>
    <w:rsid w:val="695A6918"/>
    <w:rsid w:val="697D2AD1"/>
    <w:rsid w:val="6A385A84"/>
    <w:rsid w:val="6A484A8B"/>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8E2BC7"/>
    <w:rsid w:val="6DAC5690"/>
    <w:rsid w:val="6DF878E4"/>
    <w:rsid w:val="6E630391"/>
    <w:rsid w:val="6F922E55"/>
    <w:rsid w:val="6FAF49F7"/>
    <w:rsid w:val="7045002F"/>
    <w:rsid w:val="707441BB"/>
    <w:rsid w:val="708414F7"/>
    <w:rsid w:val="708C1B31"/>
    <w:rsid w:val="708D0E66"/>
    <w:rsid w:val="70BA393E"/>
    <w:rsid w:val="70CC4BC0"/>
    <w:rsid w:val="70E4330E"/>
    <w:rsid w:val="70F33D7B"/>
    <w:rsid w:val="717F7444"/>
    <w:rsid w:val="71CC1C7C"/>
    <w:rsid w:val="71E120AB"/>
    <w:rsid w:val="71EB712A"/>
    <w:rsid w:val="72C27FA6"/>
    <w:rsid w:val="72CD1E30"/>
    <w:rsid w:val="72F27CCF"/>
    <w:rsid w:val="73032DB9"/>
    <w:rsid w:val="732037C2"/>
    <w:rsid w:val="73AA4BE9"/>
    <w:rsid w:val="74297C7C"/>
    <w:rsid w:val="74385DE5"/>
    <w:rsid w:val="74B41D21"/>
    <w:rsid w:val="759C7166"/>
    <w:rsid w:val="75A9470E"/>
    <w:rsid w:val="75C74684"/>
    <w:rsid w:val="75C857C9"/>
    <w:rsid w:val="760A6D2F"/>
    <w:rsid w:val="762429DE"/>
    <w:rsid w:val="763F2E17"/>
    <w:rsid w:val="7688070B"/>
    <w:rsid w:val="76B03EE3"/>
    <w:rsid w:val="76C36E32"/>
    <w:rsid w:val="7710508A"/>
    <w:rsid w:val="77C11B4C"/>
    <w:rsid w:val="77E97F30"/>
    <w:rsid w:val="78AE5CDB"/>
    <w:rsid w:val="79C01ACA"/>
    <w:rsid w:val="79CF2250"/>
    <w:rsid w:val="79ED0498"/>
    <w:rsid w:val="7A926977"/>
    <w:rsid w:val="7AF53B5D"/>
    <w:rsid w:val="7AFA7350"/>
    <w:rsid w:val="7B12020A"/>
    <w:rsid w:val="7B1B76BB"/>
    <w:rsid w:val="7BAA2E76"/>
    <w:rsid w:val="7C124499"/>
    <w:rsid w:val="7C6D4C1D"/>
    <w:rsid w:val="7C9129FF"/>
    <w:rsid w:val="7CE71E7A"/>
    <w:rsid w:val="7D764148"/>
    <w:rsid w:val="7DDB1222"/>
    <w:rsid w:val="7E1B5A41"/>
    <w:rsid w:val="7E4E2AA2"/>
    <w:rsid w:val="7E572472"/>
    <w:rsid w:val="7E7734EE"/>
    <w:rsid w:val="7E9A6542"/>
    <w:rsid w:val="7EAA5C42"/>
    <w:rsid w:val="7ED31908"/>
    <w:rsid w:val="7EE11E36"/>
    <w:rsid w:val="7F152581"/>
    <w:rsid w:val="7F2E6E32"/>
    <w:rsid w:val="7FBE7F6C"/>
    <w:rsid w:val="7FED2366"/>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65"/>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70"/>
    <w:qFormat/>
    <w:uiPriority w:val="0"/>
    <w:pPr>
      <w:keepNext/>
      <w:keepLines/>
      <w:spacing w:before="260" w:after="260" w:line="416" w:lineRule="auto"/>
      <w:outlineLvl w:val="2"/>
    </w:pPr>
    <w:rPr>
      <w:b/>
      <w:bCs/>
      <w:sz w:val="32"/>
      <w:szCs w:val="32"/>
    </w:rPr>
  </w:style>
  <w:style w:type="paragraph" w:styleId="8">
    <w:name w:val="heading 4"/>
    <w:basedOn w:val="1"/>
    <w:next w:val="1"/>
    <w:link w:val="67"/>
    <w:qFormat/>
    <w:uiPriority w:val="9"/>
    <w:pPr>
      <w:widowControl/>
      <w:spacing w:before="100" w:beforeAutospacing="1" w:after="100" w:afterAutospacing="1"/>
      <w:jc w:val="left"/>
      <w:outlineLvl w:val="3"/>
    </w:pPr>
    <w:rPr>
      <w:rFonts w:ascii="宋体" w:hAnsi="宋体"/>
      <w:b/>
      <w:bCs/>
      <w:kern w:val="0"/>
      <w:sz w:val="24"/>
    </w:rPr>
  </w:style>
  <w:style w:type="paragraph" w:styleId="9">
    <w:name w:val="heading 5"/>
    <w:basedOn w:val="1"/>
    <w:next w:val="1"/>
    <w:link w:val="62"/>
    <w:qFormat/>
    <w:uiPriority w:val="9"/>
    <w:pPr>
      <w:widowControl/>
      <w:spacing w:before="100" w:beforeAutospacing="1" w:after="100" w:afterAutospacing="1"/>
      <w:jc w:val="left"/>
      <w:outlineLvl w:val="4"/>
    </w:pPr>
    <w:rPr>
      <w:rFonts w:ascii="宋体" w:hAnsi="宋体"/>
      <w:b/>
      <w:bCs/>
      <w:kern w:val="0"/>
      <w:sz w:val="20"/>
      <w:szCs w:val="20"/>
    </w:rPr>
  </w:style>
  <w:style w:type="paragraph" w:styleId="10">
    <w:name w:val="heading 6"/>
    <w:basedOn w:val="1"/>
    <w:next w:val="1"/>
    <w:link w:val="73"/>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jc w:val="both"/>
    </w:pPr>
    <w:rPr>
      <w:b w:val="0"/>
      <w:bCs w:val="0"/>
      <w:sz w:val="21"/>
    </w:rPr>
  </w:style>
  <w:style w:type="paragraph" w:styleId="3">
    <w:name w:val="Body Text"/>
    <w:basedOn w:val="1"/>
    <w:next w:val="4"/>
    <w:qFormat/>
    <w:uiPriority w:val="0"/>
    <w:pPr>
      <w:spacing w:line="300" w:lineRule="auto"/>
      <w:jc w:val="center"/>
    </w:pPr>
    <w:rPr>
      <w:b/>
      <w:bCs/>
      <w:sz w:val="44"/>
    </w:rPr>
  </w:style>
  <w:style w:type="paragraph" w:customStyle="1" w:styleId="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66"/>
    <w:qFormat/>
    <w:uiPriority w:val="0"/>
    <w:pPr>
      <w:jc w:val="left"/>
    </w:pPr>
  </w:style>
  <w:style w:type="paragraph" w:styleId="14">
    <w:name w:val="Body Text Indent"/>
    <w:basedOn w:val="1"/>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61"/>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71"/>
    <w:semiHidden/>
    <w:qFormat/>
    <w:uiPriority w:val="99"/>
    <w:rPr>
      <w:sz w:val="18"/>
      <w:szCs w:val="18"/>
    </w:rPr>
  </w:style>
  <w:style w:type="paragraph" w:styleId="20">
    <w:name w:val="footer"/>
    <w:basedOn w:val="1"/>
    <w:link w:val="68"/>
    <w:qFormat/>
    <w:uiPriority w:val="99"/>
    <w:pPr>
      <w:widowControl/>
      <w:tabs>
        <w:tab w:val="center" w:pos="4153"/>
        <w:tab w:val="right" w:pos="8306"/>
      </w:tabs>
      <w:snapToGrid w:val="0"/>
      <w:jc w:val="left"/>
    </w:pPr>
    <w:rPr>
      <w:rFonts w:ascii="宋体" w:hAnsi="宋体"/>
      <w:kern w:val="0"/>
      <w:sz w:val="18"/>
      <w:szCs w:val="18"/>
    </w:rPr>
  </w:style>
  <w:style w:type="paragraph" w:styleId="21">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6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 Char Char Char"/>
    <w:basedOn w:val="1"/>
    <w:qFormat/>
    <w:uiPriority w:val="0"/>
    <w:rPr>
      <w:rFonts w:ascii="Tahoma" w:hAnsi="Tahoma"/>
      <w:sz w:val="24"/>
      <w:szCs w:val="20"/>
    </w:rPr>
  </w:style>
  <w:style w:type="paragraph" w:customStyle="1" w:styleId="36">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样式2"/>
    <w:basedOn w:val="1"/>
    <w:link w:val="69"/>
    <w:qFormat/>
    <w:uiPriority w:val="0"/>
    <w:pPr>
      <w:spacing w:line="600" w:lineRule="exact"/>
    </w:pPr>
    <w:rPr>
      <w:rFonts w:ascii="仿宋_GB2312" w:hAnsi="宋体" w:eastAsia="仿宋_GB2312"/>
      <w:b/>
      <w:sz w:val="32"/>
      <w:szCs w:val="32"/>
    </w:rPr>
  </w:style>
  <w:style w:type="paragraph" w:customStyle="1" w:styleId="38">
    <w:name w:val="环小四表内容"/>
    <w:basedOn w:val="1"/>
    <w:qFormat/>
    <w:uiPriority w:val="99"/>
    <w:pPr>
      <w:wordWrap w:val="0"/>
      <w:spacing w:line="240" w:lineRule="exact"/>
      <w:jc w:val="center"/>
    </w:pPr>
    <w:rPr>
      <w:rFonts w:hAnsi="宋体"/>
      <w:sz w:val="18"/>
      <w:szCs w:val="21"/>
    </w:rPr>
  </w:style>
  <w:style w:type="paragraph" w:customStyle="1" w:styleId="39">
    <w:name w:val="_Style 37"/>
    <w:basedOn w:val="1"/>
    <w:next w:val="1"/>
    <w:qFormat/>
    <w:uiPriority w:val="0"/>
    <w:pPr>
      <w:pBdr>
        <w:bottom w:val="single" w:color="auto" w:sz="6" w:space="1"/>
      </w:pBdr>
      <w:jc w:val="center"/>
    </w:pPr>
    <w:rPr>
      <w:rFonts w:ascii="Arial" w:eastAsia="宋体"/>
      <w:vanish/>
      <w:sz w:val="16"/>
    </w:rPr>
  </w:style>
  <w:style w:type="paragraph" w:customStyle="1" w:styleId="40">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1">
    <w:name w:val="Normal_0"/>
    <w:qFormat/>
    <w:uiPriority w:val="0"/>
    <w:rPr>
      <w:rFonts w:ascii="Times New Roman" w:hAnsi="Times New Roman" w:eastAsia="Times New Roman" w:cs="Times New Roman"/>
      <w:sz w:val="24"/>
      <w:szCs w:val="24"/>
      <w:lang w:bidi="ar-SA"/>
    </w:rPr>
  </w:style>
  <w:style w:type="paragraph" w:customStyle="1" w:styleId="42">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43">
    <w:name w:val=" Char"/>
    <w:basedOn w:val="1"/>
    <w:qFormat/>
    <w:uiPriority w:val="0"/>
    <w:rPr>
      <w:rFonts w:ascii="Tahoma" w:hAnsi="Tahoma"/>
      <w:sz w:val="24"/>
      <w:szCs w:val="20"/>
    </w:rPr>
  </w:style>
  <w:style w:type="paragraph" w:customStyle="1" w:styleId="44">
    <w:name w:val="_Style 42"/>
    <w:basedOn w:val="1"/>
    <w:next w:val="1"/>
    <w:qFormat/>
    <w:uiPriority w:val="0"/>
    <w:pPr>
      <w:pBdr>
        <w:top w:val="single" w:color="auto" w:sz="6" w:space="1"/>
      </w:pBdr>
      <w:jc w:val="center"/>
    </w:pPr>
    <w:rPr>
      <w:rFonts w:ascii="Arial" w:eastAsia="宋体"/>
      <w:vanish/>
      <w:sz w:val="16"/>
    </w:rPr>
  </w:style>
  <w:style w:type="paragraph" w:customStyle="1" w:styleId="45">
    <w:name w:val="Char Char Char Char Char Char Char1 Char"/>
    <w:basedOn w:val="1"/>
    <w:qFormat/>
    <w:uiPriority w:val="0"/>
    <w:rPr>
      <w:rFonts w:ascii="Tahoma" w:hAnsi="Tahoma"/>
      <w:sz w:val="24"/>
      <w:szCs w:val="20"/>
    </w:rPr>
  </w:style>
  <w:style w:type="paragraph" w:customStyle="1" w:styleId="46">
    <w:name w:val="环小四1.1(三级)"/>
    <w:basedOn w:val="47"/>
    <w:qFormat/>
    <w:uiPriority w:val="99"/>
  </w:style>
  <w:style w:type="paragraph" w:customStyle="1" w:styleId="47">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8">
    <w:name w:val="正文部分1"/>
    <w:basedOn w:val="1"/>
    <w:qFormat/>
    <w:uiPriority w:val="99"/>
    <w:pPr>
      <w:ind w:firstLine="200" w:firstLineChars="200"/>
    </w:pPr>
    <w:rPr>
      <w:rFonts w:ascii="宋体" w:hAnsi="宋体"/>
      <w:color w:val="000000"/>
      <w:sz w:val="24"/>
    </w:rPr>
  </w:style>
  <w:style w:type="paragraph" w:customStyle="1" w:styleId="4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环小四内容"/>
    <w:basedOn w:val="1"/>
    <w:qFormat/>
    <w:uiPriority w:val="99"/>
    <w:pPr>
      <w:ind w:firstLine="200" w:firstLineChars="200"/>
    </w:pPr>
    <w:rPr>
      <w:rFonts w:hAnsi="宋体"/>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Char Char Char Char Char Char Char1 Char Char Char Char Char Char Char"/>
    <w:basedOn w:val="1"/>
    <w:qFormat/>
    <w:uiPriority w:val="0"/>
    <w:rPr>
      <w:rFonts w:ascii="Tahoma" w:hAnsi="Tahoma"/>
      <w:sz w:val="24"/>
      <w:szCs w:val="20"/>
    </w:rPr>
  </w:style>
  <w:style w:type="paragraph" w:customStyle="1" w:styleId="5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57">
    <w:name w:val="absatz1"/>
    <w:basedOn w:val="1"/>
    <w:qFormat/>
    <w:uiPriority w:val="0"/>
    <w:pPr>
      <w:widowControl/>
      <w:tabs>
        <w:tab w:val="left" w:pos="709"/>
      </w:tabs>
      <w:ind w:left="709" w:hanging="709"/>
    </w:pPr>
    <w:rPr>
      <w:kern w:val="0"/>
      <w:sz w:val="24"/>
      <w:szCs w:val="20"/>
    </w:rPr>
  </w:style>
  <w:style w:type="paragraph" w:customStyle="1" w:styleId="58">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默认段落字体 Para Char Char Char Char Char Char Char Char Char1 Char Char Char Char Char Char Char Char"/>
    <w:basedOn w:val="12"/>
    <w:qFormat/>
    <w:uiPriority w:val="0"/>
  </w:style>
  <w:style w:type="paragraph" w:customStyle="1" w:styleId="60">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61">
    <w:name w:val="纯文本 Char"/>
    <w:link w:val="16"/>
    <w:qFormat/>
    <w:uiPriority w:val="0"/>
    <w:rPr>
      <w:rFonts w:ascii="宋体" w:hAnsi="Courier New"/>
      <w:kern w:val="2"/>
      <w:sz w:val="21"/>
    </w:rPr>
  </w:style>
  <w:style w:type="character" w:customStyle="1" w:styleId="62">
    <w:name w:val="标题 5 Char"/>
    <w:link w:val="9"/>
    <w:qFormat/>
    <w:uiPriority w:val="9"/>
    <w:rPr>
      <w:rFonts w:ascii="宋体" w:hAnsi="宋体" w:cs="宋体"/>
      <w:b/>
      <w:bCs/>
    </w:rPr>
  </w:style>
  <w:style w:type="character" w:customStyle="1" w:styleId="63">
    <w:name w:val="正文文本 2 Char"/>
    <w:link w:val="24"/>
    <w:qFormat/>
    <w:locked/>
    <w:uiPriority w:val="99"/>
    <w:rPr>
      <w:rFonts w:ascii="宋体" w:hAnsi="宋体"/>
      <w:kern w:val="0"/>
      <w:sz w:val="20"/>
      <w:szCs w:val="21"/>
    </w:rPr>
  </w:style>
  <w:style w:type="character" w:customStyle="1" w:styleId="64">
    <w:name w:val="页眉 Char"/>
    <w:link w:val="21"/>
    <w:qFormat/>
    <w:uiPriority w:val="0"/>
    <w:rPr>
      <w:rFonts w:eastAsia="宋体"/>
      <w:kern w:val="2"/>
      <w:sz w:val="18"/>
      <w:szCs w:val="18"/>
      <w:lang w:val="en-US" w:eastAsia="zh-CN" w:bidi="ar-SA"/>
    </w:rPr>
  </w:style>
  <w:style w:type="character" w:customStyle="1" w:styleId="65">
    <w:name w:val="标题 2 Char"/>
    <w:link w:val="6"/>
    <w:qFormat/>
    <w:uiPriority w:val="9"/>
    <w:rPr>
      <w:rFonts w:ascii="Arial" w:hAnsi="Arial" w:eastAsia="黑体"/>
      <w:b/>
      <w:bCs/>
      <w:kern w:val="2"/>
      <w:sz w:val="32"/>
      <w:szCs w:val="32"/>
      <w:lang w:val="en-US" w:eastAsia="zh-CN" w:bidi="ar-SA"/>
    </w:rPr>
  </w:style>
  <w:style w:type="character" w:customStyle="1" w:styleId="66">
    <w:name w:val="批注文字 Char"/>
    <w:link w:val="13"/>
    <w:qFormat/>
    <w:locked/>
    <w:uiPriority w:val="0"/>
    <w:rPr>
      <w:kern w:val="2"/>
      <w:sz w:val="21"/>
      <w:szCs w:val="24"/>
    </w:rPr>
  </w:style>
  <w:style w:type="character" w:customStyle="1" w:styleId="67">
    <w:name w:val="标题 4 Char"/>
    <w:link w:val="8"/>
    <w:qFormat/>
    <w:uiPriority w:val="9"/>
    <w:rPr>
      <w:rFonts w:ascii="宋体" w:hAnsi="宋体" w:cs="宋体"/>
      <w:b/>
      <w:bCs/>
      <w:sz w:val="24"/>
      <w:szCs w:val="24"/>
    </w:rPr>
  </w:style>
  <w:style w:type="character" w:customStyle="1" w:styleId="68">
    <w:name w:val="页脚 Char"/>
    <w:link w:val="20"/>
    <w:qFormat/>
    <w:uiPriority w:val="99"/>
    <w:rPr>
      <w:rFonts w:ascii="宋体" w:hAnsi="宋体"/>
      <w:sz w:val="18"/>
      <w:szCs w:val="18"/>
    </w:rPr>
  </w:style>
  <w:style w:type="character" w:customStyle="1" w:styleId="69">
    <w:name w:val="样式2 Char Char"/>
    <w:link w:val="37"/>
    <w:qFormat/>
    <w:uiPriority w:val="0"/>
    <w:rPr>
      <w:rFonts w:ascii="仿宋_GB2312" w:hAnsi="宋体" w:eastAsia="仿宋_GB2312"/>
      <w:b/>
      <w:kern w:val="2"/>
      <w:sz w:val="32"/>
      <w:szCs w:val="32"/>
      <w:lang w:val="en-US" w:eastAsia="zh-CN" w:bidi="ar-SA"/>
    </w:rPr>
  </w:style>
  <w:style w:type="character" w:customStyle="1" w:styleId="70">
    <w:name w:val="标题 3 Char"/>
    <w:link w:val="7"/>
    <w:qFormat/>
    <w:uiPriority w:val="0"/>
    <w:rPr>
      <w:b/>
      <w:bCs/>
      <w:kern w:val="2"/>
      <w:sz w:val="32"/>
      <w:szCs w:val="32"/>
    </w:rPr>
  </w:style>
  <w:style w:type="character" w:customStyle="1" w:styleId="71">
    <w:name w:val="批注框文本 Char"/>
    <w:link w:val="19"/>
    <w:semiHidden/>
    <w:qFormat/>
    <w:uiPriority w:val="99"/>
    <w:rPr>
      <w:kern w:val="2"/>
      <w:sz w:val="18"/>
      <w:szCs w:val="18"/>
    </w:rPr>
  </w:style>
  <w:style w:type="character" w:customStyle="1" w:styleId="72">
    <w:name w:val="标题 1 Char"/>
    <w:link w:val="5"/>
    <w:qFormat/>
    <w:uiPriority w:val="9"/>
    <w:rPr>
      <w:b/>
      <w:bCs/>
      <w:kern w:val="44"/>
      <w:sz w:val="44"/>
      <w:szCs w:val="44"/>
    </w:rPr>
  </w:style>
  <w:style w:type="character" w:customStyle="1" w:styleId="73">
    <w:name w:val="标题 6 Char"/>
    <w:link w:val="10"/>
    <w:qFormat/>
    <w:uiPriority w:val="9"/>
    <w:rPr>
      <w:rFonts w:ascii="宋体" w:hAnsi="宋体" w:cs="宋体"/>
      <w:b/>
      <w:bCs/>
      <w:sz w:val="15"/>
      <w:szCs w:val="1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46</Pages>
  <Words>4177</Words>
  <Characters>23815</Characters>
  <Lines>198</Lines>
  <Paragraphs>55</Paragraphs>
  <TotalTime>245</TotalTime>
  <ScaleCrop>false</ScaleCrop>
  <LinksUpToDate>false</LinksUpToDate>
  <CharactersWithSpaces>27937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2025-07-02T06:03:10Z</dcterms:modified>
  <dc:title>单一来源采购邀请函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FE8065BE096F43509218976F283727DB</vt:lpwstr>
  </property>
</Properties>
</file>