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jc w:val="left"/>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文件编号：</w:t>
      </w:r>
      <w:r>
        <w:rPr>
          <w:rFonts w:hint="default" w:ascii="Times New Roman" w:hAnsi="Times New Roman" w:eastAsia="仿宋" w:cs="Times New Roman"/>
          <w:color w:val="000000"/>
          <w:sz w:val="32"/>
          <w:szCs w:val="28"/>
          <w:highlight w:val="none"/>
          <w:lang w:val="en-US" w:eastAsia="zh-CN"/>
        </w:rPr>
        <w:t>SACSC-TP-S-2025024</w:t>
      </w:r>
    </w:p>
    <w:p>
      <w:pPr>
        <w:keepNext w:val="0"/>
        <w:keepLines w:val="0"/>
        <w:pageBreakBefore w:val="0"/>
        <w:kinsoku/>
        <w:overflowPunct/>
        <w:topLinePunct w:val="0"/>
        <w:bidi w:val="0"/>
        <w:spacing w:line="560" w:lineRule="exact"/>
        <w:ind w:firstLine="1280" w:firstLineChars="400"/>
        <w:jc w:val="left"/>
        <w:textAlignment w:val="auto"/>
        <w:outlineLvl w:val="9"/>
        <w:rPr>
          <w:rFonts w:hint="eastAsia" w:ascii="宋体" w:hAnsi="宋体"/>
          <w:color w:val="000000"/>
          <w:sz w:val="32"/>
          <w:szCs w:val="28"/>
          <w:highlight w:val="none"/>
        </w:rPr>
      </w:pPr>
      <w:r>
        <w:rPr>
          <w:rFonts w:hint="eastAsia" w:ascii="宋体" w:hAnsi="宋体"/>
          <w:color w:val="000000"/>
          <w:sz w:val="32"/>
          <w:szCs w:val="28"/>
          <w:highlight w:val="none"/>
        </w:rPr>
        <w:t>项目名称：航材立体库房WMS</w:t>
      </w:r>
      <w:r>
        <w:rPr>
          <w:rFonts w:hint="eastAsia" w:ascii="宋体" w:hAnsi="宋体"/>
          <w:color w:val="000000"/>
          <w:sz w:val="32"/>
          <w:szCs w:val="28"/>
          <w:highlight w:val="none"/>
          <w:lang w:val="en-US" w:eastAsia="zh-CN"/>
        </w:rPr>
        <w:t>和</w:t>
      </w:r>
      <w:r>
        <w:rPr>
          <w:rFonts w:hint="eastAsia" w:ascii="宋体" w:hAnsi="宋体"/>
          <w:color w:val="000000"/>
          <w:sz w:val="32"/>
          <w:szCs w:val="28"/>
          <w:highlight w:val="none"/>
        </w:rPr>
        <w:t>WCS系统运维</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2025</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7</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11</w:t>
      </w:r>
      <w:r>
        <w:rPr>
          <w:rFonts w:hint="eastAsia" w:ascii="宋体" w:hAnsi="宋体"/>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eastAsia"/>
          <w:color w:val="000000"/>
          <w:sz w:val="32"/>
          <w:szCs w:val="36"/>
          <w:highlight w:val="none"/>
        </w:rPr>
      </w:pP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bookmarkStart w:id="1" w:name="_Toc16676_WPSOffice_Type1"/>
      <w:r>
        <w:rPr>
          <w:rFonts w:eastAsia="宋体"/>
          <w:b w:val="0"/>
          <w:bCs w:val="0"/>
          <w:sz w:val="24"/>
          <w:highlight w:val="none"/>
        </w:rPr>
        <w:fldChar w:fldCharType="begin"/>
      </w:r>
      <w:r>
        <w:rPr>
          <w:rFonts w:eastAsia="宋体"/>
          <w:b w:val="0"/>
          <w:bCs w:val="0"/>
          <w:sz w:val="24"/>
          <w:highlight w:val="none"/>
        </w:rPr>
        <w:instrText xml:space="preserve"> HYPERLINK \l _Toc10946_WPSOffice_Level1 </w:instrText>
      </w:r>
      <w:r>
        <w:rPr>
          <w:rFonts w:eastAsia="宋体"/>
          <w:b w:val="0"/>
          <w:bCs w:val="0"/>
          <w:sz w:val="24"/>
          <w:highlight w:val="none"/>
        </w:rPr>
        <w:fldChar w:fldCharType="separate"/>
      </w:r>
      <w:r>
        <w:rPr>
          <w:rFonts w:hint="eastAsia" w:eastAsia="宋体"/>
          <w:b w:val="0"/>
          <w:bCs w:val="0"/>
          <w:sz w:val="24"/>
          <w:highlight w:val="none"/>
        </w:rPr>
        <w:t>第一章  竞争性谈判邀请</w:t>
      </w:r>
      <w:r>
        <w:rPr>
          <w:rFonts w:hint="eastAsia" w:eastAsia="宋体"/>
          <w:b w:val="0"/>
          <w:bCs w:val="0"/>
          <w:sz w:val="24"/>
          <w:highlight w:val="none"/>
          <w:lang w:eastAsia="zh-CN"/>
        </w:rPr>
        <w:t>书</w:t>
      </w:r>
      <w:r>
        <w:rPr>
          <w:rFonts w:eastAsia="宋体"/>
          <w:b w:val="0"/>
          <w:bCs w:val="0"/>
          <w:sz w:val="24"/>
          <w:highlight w:val="none"/>
        </w:rPr>
        <w:tab/>
      </w:r>
      <w:r>
        <w:rPr>
          <w:rFonts w:hint="eastAsia" w:eastAsia="宋体"/>
          <w:b w:val="0"/>
          <w:bCs w:val="0"/>
          <w:sz w:val="24"/>
          <w:highlight w:val="none"/>
          <w:lang w:val="en-US" w:eastAsia="zh-CN"/>
        </w:rPr>
        <w:t>5</w:t>
      </w:r>
      <w:r>
        <w:rPr>
          <w:rFonts w:eastAsia="宋体"/>
          <w:b w:val="0"/>
          <w:bCs w:val="0"/>
          <w:sz w:val="24"/>
          <w:highlight w:val="none"/>
        </w:rPr>
        <w:fldChar w:fldCharType="end"/>
      </w: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_Toc15799_WPSOffice_Level1 </w:instrText>
      </w:r>
      <w:r>
        <w:rPr>
          <w:rFonts w:eastAsia="宋体"/>
          <w:b w:val="0"/>
          <w:bCs w:val="0"/>
          <w:sz w:val="24"/>
          <w:highlight w:val="none"/>
        </w:rPr>
        <w:fldChar w:fldCharType="separate"/>
      </w:r>
      <w:r>
        <w:rPr>
          <w:rFonts w:hint="eastAsia" w:eastAsia="宋体"/>
          <w:b w:val="0"/>
          <w:bCs w:val="0"/>
          <w:sz w:val="24"/>
          <w:highlight w:val="none"/>
        </w:rPr>
        <w:t>第二章  响应单位须知</w:t>
      </w:r>
      <w:r>
        <w:rPr>
          <w:rFonts w:eastAsia="宋体"/>
          <w:b w:val="0"/>
          <w:bCs w:val="0"/>
          <w:sz w:val="24"/>
          <w:highlight w:val="none"/>
        </w:rPr>
        <w:tab/>
      </w:r>
      <w:r>
        <w:rPr>
          <w:rFonts w:hint="eastAsia" w:eastAsia="宋体"/>
          <w:b w:val="0"/>
          <w:bCs w:val="0"/>
          <w:sz w:val="24"/>
          <w:highlight w:val="none"/>
          <w:lang w:val="en-US" w:eastAsia="zh-CN"/>
        </w:rPr>
        <w:t>6</w:t>
      </w:r>
      <w:r>
        <w:rPr>
          <w:rFonts w:eastAsia="宋体"/>
          <w:b w:val="0"/>
          <w:bCs w:val="0"/>
          <w:sz w:val="24"/>
          <w:highlight w:val="none"/>
        </w:rPr>
        <w:fldChar w:fldCharType="end"/>
      </w: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_Toc31820_WPSOffice_Level1 </w:instrText>
      </w:r>
      <w:r>
        <w:rPr>
          <w:rFonts w:eastAsia="宋体"/>
          <w:b w:val="0"/>
          <w:bCs w:val="0"/>
          <w:sz w:val="24"/>
          <w:highlight w:val="none"/>
        </w:rPr>
        <w:fldChar w:fldCharType="separate"/>
      </w:r>
      <w:r>
        <w:rPr>
          <w:rFonts w:hint="eastAsia" w:eastAsia="宋体"/>
          <w:b w:val="0"/>
          <w:bCs w:val="0"/>
          <w:sz w:val="24"/>
          <w:highlight w:val="none"/>
        </w:rPr>
        <w:t>第三章  评审办法</w:t>
      </w:r>
      <w:r>
        <w:rPr>
          <w:rFonts w:eastAsia="宋体"/>
          <w:b w:val="0"/>
          <w:bCs w:val="0"/>
          <w:sz w:val="24"/>
          <w:highlight w:val="none"/>
        </w:rPr>
        <w:tab/>
      </w:r>
      <w:r>
        <w:rPr>
          <w:rFonts w:hint="eastAsia" w:eastAsia="宋体"/>
          <w:b w:val="0"/>
          <w:bCs w:val="0"/>
          <w:sz w:val="24"/>
          <w:highlight w:val="none"/>
          <w:lang w:val="en-US" w:eastAsia="zh-CN"/>
        </w:rPr>
        <w:t>8</w:t>
      </w:r>
      <w:r>
        <w:rPr>
          <w:rFonts w:eastAsia="宋体"/>
          <w:b w:val="0"/>
          <w:bCs w:val="0"/>
          <w:sz w:val="24"/>
          <w:highlight w:val="none"/>
        </w:rPr>
        <w:fldChar w:fldCharType="end"/>
      </w: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b w:val="0"/>
          <w:bCs w:val="0"/>
          <w:sz w:val="24"/>
          <w:highlight w:val="none"/>
          <w:lang w:val="en-US" w:eastAsia="zh-CN"/>
        </w:rPr>
      </w:pPr>
      <w:r>
        <w:rPr>
          <w:rFonts w:eastAsia="宋体"/>
          <w:b w:val="0"/>
          <w:bCs w:val="0"/>
          <w:sz w:val="24"/>
          <w:highlight w:val="none"/>
        </w:rPr>
        <w:fldChar w:fldCharType="begin"/>
      </w:r>
      <w:r>
        <w:rPr>
          <w:rFonts w:eastAsia="宋体"/>
          <w:b w:val="0"/>
          <w:bCs w:val="0"/>
          <w:sz w:val="24"/>
          <w:highlight w:val="none"/>
        </w:rPr>
        <w:instrText xml:space="preserve"> HYPERLINK \l _Toc742_WPSOffice_Level1 </w:instrText>
      </w:r>
      <w:r>
        <w:rPr>
          <w:rFonts w:eastAsia="宋体"/>
          <w:b w:val="0"/>
          <w:bCs w:val="0"/>
          <w:sz w:val="24"/>
          <w:highlight w:val="none"/>
        </w:rPr>
        <w:fldChar w:fldCharType="separate"/>
      </w:r>
      <w:r>
        <w:rPr>
          <w:rFonts w:hint="eastAsia" w:eastAsia="宋体"/>
          <w:b w:val="0"/>
          <w:bCs w:val="0"/>
          <w:sz w:val="24"/>
          <w:highlight w:val="none"/>
        </w:rPr>
        <w:t>第四章  商务要求</w:t>
      </w:r>
      <w:r>
        <w:rPr>
          <w:rFonts w:eastAsia="宋体"/>
          <w:b w:val="0"/>
          <w:bCs w:val="0"/>
          <w:sz w:val="24"/>
          <w:highlight w:val="none"/>
        </w:rPr>
        <w:tab/>
      </w:r>
      <w:bookmarkStart w:id="2" w:name="_Toc742_WPSOffice_Level1Page"/>
      <w:r>
        <w:rPr>
          <w:rFonts w:eastAsia="宋体"/>
          <w:b w:val="0"/>
          <w:bCs w:val="0"/>
          <w:sz w:val="24"/>
          <w:highlight w:val="none"/>
        </w:rPr>
        <w:t>1</w:t>
      </w:r>
      <w:bookmarkEnd w:id="2"/>
      <w:r>
        <w:rPr>
          <w:rFonts w:eastAsia="宋体"/>
          <w:b w:val="0"/>
          <w:bCs w:val="0"/>
          <w:sz w:val="24"/>
          <w:highlight w:val="none"/>
        </w:rPr>
        <w:fldChar w:fldCharType="end"/>
      </w:r>
      <w:r>
        <w:rPr>
          <w:rFonts w:hint="eastAsia" w:eastAsia="宋体"/>
          <w:b w:val="0"/>
          <w:bCs w:val="0"/>
          <w:sz w:val="24"/>
          <w:highlight w:val="none"/>
          <w:lang w:val="en-US" w:eastAsia="zh-CN"/>
        </w:rPr>
        <w:t>1</w:t>
      </w: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_Toc28157_WPSOffice_Level1 </w:instrText>
      </w:r>
      <w:r>
        <w:rPr>
          <w:rFonts w:eastAsia="宋体"/>
          <w:b w:val="0"/>
          <w:bCs w:val="0"/>
          <w:sz w:val="24"/>
          <w:highlight w:val="none"/>
        </w:rPr>
        <w:fldChar w:fldCharType="separate"/>
      </w:r>
      <w:r>
        <w:rPr>
          <w:rFonts w:hint="eastAsia" w:eastAsia="宋体"/>
          <w:b w:val="0"/>
          <w:bCs w:val="0"/>
          <w:sz w:val="24"/>
          <w:highlight w:val="none"/>
        </w:rPr>
        <w:t>第五章  服务要求</w:t>
      </w:r>
      <w:r>
        <w:rPr>
          <w:rFonts w:eastAsia="宋体"/>
          <w:b w:val="0"/>
          <w:bCs w:val="0"/>
          <w:sz w:val="24"/>
          <w:highlight w:val="none"/>
        </w:rPr>
        <w:tab/>
      </w:r>
      <w:bookmarkStart w:id="3" w:name="_Toc28157_WPSOffice_Level1Page"/>
      <w:r>
        <w:rPr>
          <w:rFonts w:eastAsia="宋体"/>
          <w:b w:val="0"/>
          <w:bCs w:val="0"/>
          <w:sz w:val="24"/>
          <w:highlight w:val="none"/>
        </w:rPr>
        <w:t>15</w:t>
      </w:r>
      <w:bookmarkEnd w:id="3"/>
      <w:r>
        <w:rPr>
          <w:rFonts w:eastAsia="宋体"/>
          <w:b w:val="0"/>
          <w:bCs w:val="0"/>
          <w:sz w:val="24"/>
          <w:highlight w:val="none"/>
        </w:rPr>
        <w:fldChar w:fldCharType="end"/>
      </w: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_Toc7733_WPSOffice_Level1 </w:instrText>
      </w:r>
      <w:r>
        <w:rPr>
          <w:rFonts w:eastAsia="宋体"/>
          <w:b w:val="0"/>
          <w:bCs w:val="0"/>
          <w:sz w:val="24"/>
          <w:highlight w:val="none"/>
        </w:rPr>
        <w:fldChar w:fldCharType="separate"/>
      </w:r>
      <w:r>
        <w:rPr>
          <w:rFonts w:hint="eastAsia" w:eastAsia="宋体"/>
          <w:b w:val="0"/>
          <w:bCs w:val="0"/>
          <w:sz w:val="24"/>
          <w:highlight w:val="none"/>
        </w:rPr>
        <w:t>第六章  附件</w:t>
      </w:r>
      <w:r>
        <w:rPr>
          <w:rFonts w:eastAsia="宋体"/>
          <w:b w:val="0"/>
          <w:bCs w:val="0"/>
          <w:sz w:val="24"/>
          <w:highlight w:val="none"/>
        </w:rPr>
        <w:tab/>
      </w:r>
      <w:bookmarkStart w:id="4" w:name="_Toc7733_WPSOffice_Level1Page"/>
      <w:r>
        <w:rPr>
          <w:rFonts w:eastAsia="宋体"/>
          <w:b w:val="0"/>
          <w:bCs w:val="0"/>
          <w:sz w:val="24"/>
          <w:highlight w:val="none"/>
        </w:rPr>
        <w:t>16</w:t>
      </w:r>
      <w:bookmarkEnd w:id="4"/>
      <w:r>
        <w:rPr>
          <w:rFonts w:eastAsia="宋体"/>
          <w:b w:val="0"/>
          <w:bCs w:val="0"/>
          <w:sz w:val="24"/>
          <w:highlight w:val="none"/>
        </w:rPr>
        <w:fldChar w:fldCharType="end"/>
      </w:r>
      <w:bookmarkEnd w:id="1"/>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8"/>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sz w:val="24"/>
          <w:highlight w:val="none"/>
        </w:rPr>
        <w:sectPr>
          <w:footerReference r:id="rId3" w:type="default"/>
          <w:type w:val="continuous"/>
          <w:pgSz w:w="11906" w:h="16838"/>
          <w:pgMar w:top="1803" w:right="1440" w:bottom="1803" w:left="1440" w:header="851" w:footer="992" w:gutter="0"/>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方正小标宋简体" w:hAnsi="方正小标宋简体" w:eastAsia="方正小标宋简体" w:cs="方正小标宋简体"/>
          <w:b/>
          <w:bCs/>
          <w:color w:val="000000"/>
          <w:sz w:val="36"/>
          <w:highlight w:val="none"/>
          <w:lang w:val="en-US" w:eastAsia="zh-CN"/>
        </w:rPr>
      </w:pPr>
      <w:bookmarkStart w:id="5" w:name="_Toc10946_WPSOffice_Level1"/>
      <w:bookmarkStart w:id="6" w:name="_Hlk13586256"/>
      <w:bookmarkStart w:id="7" w:name="_Hlk39648029"/>
      <w:r>
        <w:rPr>
          <w:rFonts w:hint="eastAsia" w:ascii="方正小标宋简体" w:hAnsi="方正小标宋简体" w:eastAsia="方正小标宋简体" w:cs="方正小标宋简体"/>
          <w:b/>
          <w:bCs/>
          <w:color w:val="000000"/>
          <w:sz w:val="36"/>
          <w:highlight w:val="none"/>
          <w:lang w:eastAsia="zh-CN"/>
        </w:rPr>
        <w:t>第</w:t>
      </w:r>
      <w:r>
        <w:rPr>
          <w:rFonts w:hint="eastAsia" w:ascii="方正小标宋简体" w:hAnsi="方正小标宋简体" w:eastAsia="方正小标宋简体" w:cs="方正小标宋简体"/>
          <w:b/>
          <w:bCs/>
          <w:color w:val="000000"/>
          <w:sz w:val="36"/>
          <w:highlight w:val="none"/>
          <w:lang w:val="en-US" w:eastAsia="zh-CN"/>
        </w:rPr>
        <w:t xml:space="preserve">一章  </w:t>
      </w:r>
      <w:r>
        <w:rPr>
          <w:rFonts w:hint="eastAsia" w:ascii="方正小标宋简体" w:hAnsi="方正小标宋简体" w:eastAsia="方正小标宋简体" w:cs="方正小标宋简体"/>
          <w:b/>
          <w:bCs/>
          <w:color w:val="000000"/>
          <w:sz w:val="36"/>
          <w:highlight w:val="none"/>
        </w:rPr>
        <w:t>竞争性谈判</w:t>
      </w:r>
      <w:r>
        <w:rPr>
          <w:rFonts w:hint="eastAsia" w:ascii="方正小标宋简体" w:hAnsi="方正小标宋简体" w:eastAsia="方正小标宋简体" w:cs="方正小标宋简体"/>
          <w:b/>
          <w:bCs/>
          <w:color w:val="000000"/>
          <w:sz w:val="36"/>
          <w:highlight w:val="none"/>
          <w:lang w:eastAsia="zh-CN"/>
        </w:rPr>
        <w:t>邀请</w:t>
      </w:r>
      <w:bookmarkEnd w:id="5"/>
      <w:r>
        <w:rPr>
          <w:rFonts w:hint="eastAsia" w:ascii="方正小标宋简体" w:hAnsi="方正小标宋简体" w:eastAsia="方正小标宋简体" w:cs="方正小标宋简体"/>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上海飞机客户服务有限公司（</w:t>
      </w:r>
      <w:r>
        <w:rPr>
          <w:rFonts w:hint="eastAsia" w:ascii="宋体" w:hAnsi="宋体"/>
          <w:sz w:val="28"/>
          <w:szCs w:val="28"/>
          <w:highlight w:val="none"/>
          <w:lang w:val="en-US" w:eastAsia="zh-CN"/>
        </w:rPr>
        <w:t>下简称“我司”或“甲方”</w:t>
      </w:r>
      <w:r>
        <w:rPr>
          <w:rFonts w:hint="eastAsia" w:ascii="宋体" w:hAnsi="宋体"/>
          <w:sz w:val="28"/>
          <w:szCs w:val="28"/>
          <w:highlight w:val="none"/>
          <w:lang w:eastAsia="zh-CN"/>
        </w:rPr>
        <w:t>）诚邀贵单位参加我单位</w:t>
      </w:r>
      <w:r>
        <w:rPr>
          <w:rFonts w:hint="eastAsia" w:ascii="宋体" w:hAnsi="宋体"/>
          <w:sz w:val="28"/>
          <w:szCs w:val="28"/>
          <w:highlight w:val="none"/>
          <w:u w:val="single"/>
          <w:lang w:eastAsia="zh-CN"/>
        </w:rPr>
        <w:t>航材立体库房WMS</w:t>
      </w:r>
      <w:r>
        <w:rPr>
          <w:rFonts w:hint="eastAsia" w:ascii="宋体" w:hAnsi="宋体"/>
          <w:sz w:val="28"/>
          <w:szCs w:val="28"/>
          <w:highlight w:val="none"/>
          <w:u w:val="single"/>
          <w:lang w:val="en-US" w:eastAsia="zh-CN"/>
        </w:rPr>
        <w:t>和</w:t>
      </w:r>
      <w:r>
        <w:rPr>
          <w:rFonts w:hint="eastAsia" w:ascii="宋体" w:hAnsi="宋体"/>
          <w:sz w:val="28"/>
          <w:szCs w:val="28"/>
          <w:highlight w:val="none"/>
          <w:u w:val="single"/>
          <w:lang w:eastAsia="zh-CN"/>
        </w:rPr>
        <w:t>WCS系统运维</w:t>
      </w:r>
      <w:r>
        <w:rPr>
          <w:rFonts w:hint="eastAsia" w:ascii="宋体" w:hAnsi="宋体"/>
          <w:sz w:val="28"/>
          <w:szCs w:val="28"/>
          <w:highlight w:val="none"/>
          <w:lang w:eastAsia="zh-CN"/>
        </w:rPr>
        <w:t>项目的采购，项目具体情况如下：</w:t>
      </w:r>
    </w:p>
    <w:tbl>
      <w:tblPr>
        <w:tblStyle w:val="3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1.</w:t>
            </w:r>
            <w:r>
              <w:rPr>
                <w:rFonts w:hint="eastAsia" w:ascii="宋体" w:hAnsi="宋体"/>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服务名称</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rPr>
            </w:pPr>
            <w:r>
              <w:rPr>
                <w:rFonts w:hint="eastAsia" w:ascii="宋体" w:hAnsi="宋体"/>
                <w:sz w:val="24"/>
                <w:highlight w:val="none"/>
                <w:vertAlign w:val="baseline"/>
                <w:lang w:val="en-US" w:eastAsia="zh-CN"/>
              </w:rPr>
              <w:t>航材立体库房WMS和WCS系统运维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服务概况</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服务内容：完成航材立体库房WMS和WCS系统运维</w:t>
            </w:r>
          </w:p>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（详见附件八：《技术要求》）</w:t>
            </w:r>
          </w:p>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服务地址：上海飞机客户服务有限公司（江川东路100号）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服务期限</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eastAsia" w:ascii="宋体" w:hAnsi="宋体" w:eastAsia="仿宋"/>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月前</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lang w:eastAsia="zh-CN"/>
              </w:rPr>
              <w:t>☑其他</w:t>
            </w:r>
            <w:r>
              <w:rPr>
                <w:rFonts w:hint="eastAsia" w:ascii="宋体" w:hAnsi="宋体"/>
                <w:sz w:val="24"/>
                <w:highlight w:val="none"/>
                <w:lang w:val="en-US" w:eastAsia="zh-CN"/>
              </w:rPr>
              <w:t>:</w:t>
            </w:r>
            <w:r>
              <w:rPr>
                <w:rFonts w:hint="eastAsia" w:ascii="宋体" w:hAnsi="宋体"/>
                <w:sz w:val="24"/>
                <w:highlight w:val="none"/>
                <w:u w:val="single"/>
                <w:lang w:val="en-US" w:eastAsia="zh-CN"/>
              </w:rPr>
              <w:t>合同签订之日起两年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224" w:leftChars="104" w:hanging="6" w:firstLineChars="0"/>
              <w:jc w:val="center"/>
              <w:textAlignment w:val="auto"/>
              <w:outlineLvl w:val="9"/>
              <w:rPr>
                <w:rFonts w:hint="eastAsia" w:ascii="宋体" w:hAnsi="宋体" w:eastAsia="宋体"/>
                <w:b/>
                <w:bCs/>
                <w:sz w:val="24"/>
                <w:highlight w:val="none"/>
                <w:lang w:eastAsia="zh-CN"/>
              </w:rPr>
            </w:pPr>
            <w:r>
              <w:rPr>
                <w:rFonts w:hint="eastAsia" w:ascii="宋体" w:hAnsi="宋体"/>
                <w:b/>
                <w:bCs/>
                <w:sz w:val="24"/>
                <w:highlight w:val="none"/>
                <w:lang w:val="en-US" w:eastAsia="zh-CN"/>
              </w:rPr>
              <w:t>2.</w:t>
            </w:r>
            <w:r>
              <w:rPr>
                <w:rFonts w:hint="eastAsia" w:ascii="宋体" w:hAnsi="宋体"/>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电话询问</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rPr>
              <w:t>□ 纸质文件询问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邮件询问</w:t>
            </w:r>
          </w:p>
          <w:p>
            <w:pPr>
              <w:spacing w:beforeLines="0" w:afterLines="0"/>
              <w:ind w:firstLine="240" w:firstLineChars="100"/>
              <w:jc w:val="left"/>
              <w:rPr>
                <w:rFonts w:hint="eastAsia" w:ascii="宋体" w:hAnsi="宋体"/>
                <w:sz w:val="24"/>
                <w:highlight w:val="none"/>
                <w:lang w:val="en-US"/>
              </w:rPr>
            </w:pPr>
            <w:r>
              <w:rPr>
                <w:rFonts w:hint="eastAsia" w:ascii="宋体" w:hAnsi="宋体"/>
                <w:sz w:val="24"/>
                <w:highlight w:val="none"/>
                <w:lang w:eastAsia="zh-CN"/>
              </w:rPr>
              <w:t>☑</w:t>
            </w:r>
            <w:r>
              <w:rPr>
                <w:rFonts w:hint="eastAsia" w:ascii="宋体" w:hAnsi="宋体"/>
                <w:sz w:val="24"/>
                <w:highlight w:val="none"/>
              </w:rPr>
              <w:t xml:space="preserve"> 其他</w:t>
            </w:r>
            <w:r>
              <w:rPr>
                <w:rFonts w:hint="eastAsia" w:ascii="宋体" w:hAnsi="宋体"/>
                <w:sz w:val="24"/>
                <w:highlight w:val="none"/>
                <w:lang w:eastAsia="zh-CN"/>
              </w:rPr>
              <w:t>：</w:t>
            </w:r>
            <w:r>
              <w:rPr>
                <w:rFonts w:hint="eastAsia" w:ascii="宋体" w:hAnsi="宋体"/>
                <w:sz w:val="24"/>
                <w:highlight w:val="none"/>
                <w:u w:val="single"/>
              </w:rPr>
              <w:t>踏勘时间为202</w:t>
            </w:r>
            <w:r>
              <w:rPr>
                <w:rFonts w:hint="eastAsia" w:ascii="宋体" w:hAnsi="宋体"/>
                <w:sz w:val="24"/>
                <w:highlight w:val="none"/>
                <w:u w:val="single"/>
                <w:lang w:val="en-US" w:eastAsia="zh-CN"/>
              </w:rPr>
              <w:t>5</w:t>
            </w:r>
            <w:r>
              <w:rPr>
                <w:rFonts w:hint="eastAsia" w:ascii="宋体" w:hAnsi="宋体"/>
                <w:sz w:val="24"/>
                <w:highlight w:val="none"/>
                <w:u w:val="single"/>
              </w:rPr>
              <w:t>年</w:t>
            </w:r>
            <w:r>
              <w:rPr>
                <w:rFonts w:hint="eastAsia" w:ascii="宋体" w:hAnsi="宋体"/>
                <w:sz w:val="24"/>
                <w:highlight w:val="none"/>
                <w:u w:val="single"/>
                <w:lang w:val="en-US" w:eastAsia="zh-CN"/>
              </w:rPr>
              <w:t>7</w:t>
            </w:r>
            <w:r>
              <w:rPr>
                <w:rFonts w:hint="eastAsia" w:ascii="宋体" w:hAnsi="宋体"/>
                <w:sz w:val="24"/>
                <w:highlight w:val="none"/>
                <w:u w:val="single"/>
              </w:rPr>
              <w:t>月</w:t>
            </w:r>
            <w:r>
              <w:rPr>
                <w:rFonts w:hint="eastAsia" w:ascii="宋体" w:hAnsi="宋体"/>
                <w:sz w:val="24"/>
                <w:highlight w:val="none"/>
                <w:u w:val="single"/>
                <w:lang w:val="en-US" w:eastAsia="zh-CN"/>
              </w:rPr>
              <w:t>14</w:t>
            </w:r>
            <w:r>
              <w:rPr>
                <w:rFonts w:hint="eastAsia" w:ascii="宋体" w:hAnsi="宋体"/>
                <w:sz w:val="24"/>
                <w:highlight w:val="none"/>
                <w:u w:val="single"/>
              </w:rPr>
              <w:t>日下午14:00，踏勘联系人刘经理15900959895</w:t>
            </w:r>
            <w:r>
              <w:rPr>
                <w:rFonts w:hint="eastAsia" w:ascii="宋体" w:hAnsi="宋体"/>
                <w:sz w:val="24"/>
                <w:highlight w:val="none"/>
                <w:u w:val="single"/>
                <w:lang w:eastAsia="zh-CN"/>
              </w:rPr>
              <w:t>、</w:t>
            </w:r>
            <w:r>
              <w:rPr>
                <w:rFonts w:hint="eastAsia" w:ascii="宋体" w:hAnsi="宋体"/>
                <w:sz w:val="24"/>
                <w:highlight w:val="none"/>
                <w:u w:val="single"/>
                <w:lang w:val="en-US" w:eastAsia="zh-CN"/>
              </w:rPr>
              <w:t>孔经理18019196725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询问联系方式</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 xml:space="preserve">联系人：  </w:t>
            </w:r>
            <w:r>
              <w:rPr>
                <w:rFonts w:hint="eastAsia" w:ascii="宋体" w:hAnsi="宋体" w:cs="Times New Roman"/>
                <w:sz w:val="24"/>
                <w:highlight w:val="none"/>
                <w:u w:val="single"/>
                <w:lang w:val="en-US" w:eastAsia="zh-CN"/>
              </w:rPr>
              <w:t>孔万里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u w:val="single"/>
                <w:lang w:val="en-US" w:eastAsia="zh-CN"/>
              </w:rPr>
            </w:pPr>
            <w:r>
              <w:rPr>
                <w:rFonts w:hint="eastAsia" w:ascii="宋体" w:hAnsi="宋体" w:cs="Times New Roman"/>
                <w:sz w:val="24"/>
                <w:highlight w:val="none"/>
                <w:lang w:val="en-US" w:eastAsia="zh-CN"/>
              </w:rPr>
              <w:t>联系电话：</w:t>
            </w:r>
            <w:r>
              <w:rPr>
                <w:rFonts w:hint="eastAsia" w:ascii="宋体" w:hAnsi="宋体" w:cs="Times New Roman"/>
                <w:sz w:val="24"/>
                <w:highlight w:val="none"/>
                <w:u w:val="single"/>
                <w:lang w:val="en-US" w:eastAsia="zh-CN"/>
              </w:rPr>
              <w:t>18019196725</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联系地址：</w:t>
            </w:r>
            <w:r>
              <w:rPr>
                <w:rFonts w:hint="eastAsia" w:ascii="宋体" w:hAnsi="宋体" w:cs="Times New Roman"/>
                <w:sz w:val="24"/>
                <w:highlight w:val="none"/>
                <w:u w:val="single"/>
                <w:lang w:val="en-US" w:eastAsia="zh-CN"/>
              </w:rPr>
              <w:t>上海闵行江川东路100号</w:t>
            </w:r>
          </w:p>
          <w:p>
            <w:pPr>
              <w:autoSpaceDE w:val="0"/>
              <w:autoSpaceDN w:val="0"/>
              <w:adjustRightInd w:val="0"/>
              <w:ind w:left="224" w:leftChars="104" w:hanging="6" w:firstLineChars="0"/>
              <w:jc w:val="left"/>
              <w:rPr>
                <w:rFonts w:hint="eastAsia" w:ascii="宋体" w:hAnsi="宋体"/>
                <w:sz w:val="24"/>
                <w:highlight w:val="none"/>
                <w:lang w:val="en-US" w:eastAsia="zh-CN"/>
              </w:rPr>
            </w:pPr>
            <w:r>
              <w:rPr>
                <w:rFonts w:hint="eastAsia" w:ascii="宋体" w:hAnsi="宋体" w:cs="Times New Roman"/>
                <w:sz w:val="24"/>
                <w:highlight w:val="none"/>
                <w:lang w:val="en-US" w:eastAsia="zh-CN"/>
              </w:rPr>
              <w:t>联系邮箱：</w:t>
            </w:r>
            <w:r>
              <w:rPr>
                <w:rFonts w:hint="eastAsia" w:ascii="宋体" w:hAnsi="宋体" w:cs="Times New Roman"/>
                <w:sz w:val="24"/>
                <w:highlight w:val="none"/>
                <w:u w:val="single"/>
                <w:lang w:val="en-US" w:eastAsia="zh-CN"/>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3.</w:t>
            </w:r>
            <w:r>
              <w:rPr>
                <w:rFonts w:hint="eastAsia" w:ascii="宋体" w:hAnsi="宋体"/>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响应文件提交方式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val="en-US" w:eastAsia="zh-CN"/>
              </w:rPr>
              <w:t>联系人：</w:t>
            </w:r>
            <w:r>
              <w:rPr>
                <w:rFonts w:hint="eastAsia" w:ascii="宋体" w:hAnsi="宋体"/>
                <w:sz w:val="24"/>
                <w:highlight w:val="none"/>
                <w:u w:val="single"/>
                <w:lang w:val="en-US" w:eastAsia="zh-CN"/>
              </w:rPr>
              <w:t>孔万里</w:t>
            </w:r>
            <w:r>
              <w:rPr>
                <w:rFonts w:hint="eastAsia" w:ascii="宋体" w:hAnsi="宋体"/>
                <w:sz w:val="24"/>
                <w:highlight w:val="none"/>
                <w:lang w:val="en-US" w:eastAsia="zh-CN"/>
              </w:rPr>
              <w:t xml:space="preserve">    联系方式：</w:t>
            </w:r>
            <w:r>
              <w:rPr>
                <w:rFonts w:hint="eastAsia" w:ascii="宋体" w:hAnsi="宋体" w:cs="Times New Roman"/>
                <w:sz w:val="24"/>
                <w:highlight w:val="none"/>
                <w:u w:val="single"/>
                <w:lang w:val="en-US" w:eastAsia="zh-CN"/>
              </w:rPr>
              <w:t>18019196725</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☑纸质邮寄</w:t>
            </w:r>
            <w:r>
              <w:rPr>
                <w:rFonts w:hint="eastAsia" w:ascii="宋体" w:hAnsi="宋体"/>
                <w:sz w:val="24"/>
                <w:highlight w:val="none"/>
                <w:lang w:val="en-US" w:eastAsia="zh-CN"/>
              </w:rPr>
              <w:t>/</w:t>
            </w:r>
            <w:r>
              <w:rPr>
                <w:rFonts w:hint="eastAsia" w:ascii="宋体" w:hAnsi="宋体"/>
                <w:sz w:val="24"/>
                <w:highlight w:val="none"/>
                <w:lang w:eastAsia="zh-CN"/>
              </w:rPr>
              <w:t>现场送达至</w:t>
            </w:r>
            <w:r>
              <w:rPr>
                <w:rFonts w:hint="eastAsia" w:ascii="宋体" w:hAnsi="宋体"/>
                <w:sz w:val="24"/>
                <w:highlight w:val="none"/>
                <w:lang w:val="en-US" w:eastAsia="zh-CN"/>
              </w:rPr>
              <w:t>：</w:t>
            </w:r>
            <w:r>
              <w:rPr>
                <w:rFonts w:hint="eastAsia" w:ascii="宋体" w:hAnsi="宋体"/>
                <w:sz w:val="24"/>
                <w:highlight w:val="none"/>
                <w:u w:val="single"/>
                <w:lang w:val="en-US" w:eastAsia="zh-CN"/>
              </w:rPr>
              <w:t>上海市闵行区江川东路100号 采购与供应商管理部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宋体" w:hAnsi="宋体"/>
                <w:sz w:val="24"/>
                <w:highlight w:val="none"/>
                <w:lang w:val="en-US" w:eastAsia="zh-CN"/>
              </w:rPr>
            </w:pPr>
            <w:r>
              <w:rPr>
                <w:rFonts w:hint="eastAsia" w:ascii="宋体" w:hAnsi="宋体"/>
                <w:sz w:val="24"/>
                <w:highlight w:val="none"/>
                <w:lang w:eastAsia="zh-CN"/>
              </w:rPr>
              <w:t>☑电子提交</w:t>
            </w:r>
            <w:r>
              <w:rPr>
                <w:rFonts w:hint="eastAsia" w:ascii="宋体" w:hAnsi="宋体"/>
                <w:sz w:val="24"/>
                <w:highlight w:val="none"/>
                <w:lang w:val="en-US" w:eastAsia="zh-CN"/>
              </w:rPr>
              <w:t>至：</w:t>
            </w:r>
            <w:r>
              <w:rPr>
                <w:rFonts w:hint="eastAsia" w:ascii="宋体" w:hAnsi="宋体"/>
                <w:strike w:val="0"/>
                <w:dstrike w:val="0"/>
                <w:sz w:val="24"/>
                <w:highlight w:val="none"/>
                <w:u w:val="single"/>
                <w:lang w:val="en-US" w:eastAsia="zh-CN"/>
              </w:rPr>
              <w:t>同纸质文件一起封装递交（U盘或光盘）</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响应文件必须包含内容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Times New Roman" w:hAnsi="Times New Roman"/>
                <w:sz w:val="24"/>
                <w:highlight w:val="none"/>
              </w:rPr>
              <w:t>竞争性谈判响应声明</w:t>
            </w:r>
            <w:r>
              <w:rPr>
                <w:rFonts w:hint="eastAsia" w:ascii="Times New Roman" w:hAnsi="Times New Roman"/>
                <w:sz w:val="24"/>
                <w:highlight w:val="none"/>
                <w:lang w:val="en-US" w:eastAsia="zh-CN"/>
              </w:rPr>
              <w:t xml:space="preserve">   </w:t>
            </w:r>
            <w:r>
              <w:rPr>
                <w:rFonts w:hint="eastAsia" w:ascii="宋体" w:hAnsi="宋体"/>
                <w:sz w:val="24"/>
                <w:highlight w:val="none"/>
                <w:lang w:eastAsia="zh-CN"/>
              </w:rPr>
              <w:t>☑报价表</w:t>
            </w: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☑商务要求响应表</w:t>
            </w:r>
            <w:r>
              <w:rPr>
                <w:rFonts w:hint="eastAsia" w:ascii="宋体" w:hAnsi="宋体"/>
                <w:sz w:val="24"/>
                <w:highlight w:val="none"/>
                <w:lang w:val="en-US" w:eastAsia="zh-CN"/>
              </w:rPr>
              <w:t xml:space="preserve">        </w:t>
            </w:r>
            <w:r>
              <w:rPr>
                <w:rFonts w:hint="eastAsia" w:ascii="宋体" w:hAnsi="宋体"/>
                <w:sz w:val="24"/>
                <w:highlight w:val="none"/>
                <w:lang w:eastAsia="zh-CN"/>
              </w:rPr>
              <w:t>☑技术要求响应表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lang w:eastAsia="zh-CN"/>
              </w:rPr>
              <w:t>☑授权代表人身份证复印件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☑廉洁协议</w:t>
            </w: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响应文件盖章要求</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before="159" w:beforeLines="50" w:line="360" w:lineRule="auto"/>
              <w:jc w:val="both"/>
              <w:textAlignment w:val="auto"/>
              <w:outlineLvl w:val="9"/>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响应文件中的以下内容应加盖公章：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响应文件（骑缝章）</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营业执照</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财务报表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业绩证明   </w:t>
            </w: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质量体系认证证书</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报价表</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rPr>
              <w:t>竞争性谈判响应声明</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eastAsia="宋体"/>
                <w:sz w:val="24"/>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jc w:val="left"/>
              <w:textAlignment w:val="auto"/>
              <w:outlineLvl w:val="9"/>
              <w:rPr>
                <w:rFonts w:hint="eastAsia" w:ascii="宋体" w:hAnsi="宋体"/>
                <w:b/>
                <w:bCs/>
                <w:sz w:val="24"/>
                <w:highlight w:val="none"/>
                <w:u w:val="none"/>
                <w:lang w:val="en-US" w:eastAsia="zh-CN"/>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截止时间</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rPr>
            </w:pPr>
            <w:r>
              <w:rPr>
                <w:rFonts w:hint="eastAsia" w:ascii="宋体" w:hAnsi="宋体"/>
                <w:b/>
                <w:bCs/>
                <w:sz w:val="24"/>
                <w:highlight w:val="none"/>
                <w:u w:val="none"/>
                <w:lang w:val="en-US" w:eastAsia="zh-CN"/>
              </w:rPr>
              <w:t>2025年7月18日17：00时前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3.4</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响应文件数量</w:t>
            </w:r>
          </w:p>
        </w:tc>
        <w:tc>
          <w:tcPr>
            <w:tcW w:w="6843" w:type="dxa"/>
            <w:vAlign w:val="center"/>
          </w:tcPr>
          <w:p>
            <w:pPr>
              <w:keepNext w:val="0"/>
              <w:keepLines w:val="0"/>
              <w:pageBreakBefore w:val="0"/>
              <w:widowControl/>
              <w:kinsoku/>
              <w:wordWrap/>
              <w:overflowPunct/>
              <w:topLinePunct w:val="0"/>
              <w:autoSpaceDE/>
              <w:autoSpaceDN/>
              <w:bidi w:val="0"/>
              <w:adjustRightInd/>
              <w:spacing w:beforeLines="0" w:afterLines="0" w:line="240" w:lineRule="auto"/>
              <w:jc w:val="both"/>
              <w:textAlignment w:val="auto"/>
              <w:outlineLvl w:val="9"/>
              <w:rPr>
                <w:rFonts w:hint="eastAsia" w:ascii="Times New Roman" w:hAnsi="Times New Roman"/>
                <w:sz w:val="24"/>
                <w:highlight w:val="none"/>
                <w:u w:val="none"/>
                <w:lang w:val="en-US" w:eastAsia="zh-CN"/>
              </w:rPr>
            </w:pPr>
            <w:r>
              <w:rPr>
                <w:rFonts w:hint="eastAsia" w:ascii="宋体" w:hAnsi="宋体" w:eastAsia="宋体"/>
                <w:sz w:val="24"/>
              </w:rPr>
              <w:t>需密封：纸质版</w:t>
            </w:r>
            <w:r>
              <w:rPr>
                <w:rFonts w:hint="eastAsia" w:ascii="TimesNewRomanPSMT" w:hAnsi="TimesNewRomanPSMT" w:eastAsia="TimesNewRomanPSMT"/>
                <w:sz w:val="24"/>
              </w:rPr>
              <w:t xml:space="preserve">1 </w:t>
            </w:r>
            <w:r>
              <w:rPr>
                <w:rFonts w:hint="eastAsia" w:ascii="宋体" w:hAnsi="宋体" w:eastAsia="宋体"/>
                <w:sz w:val="24"/>
              </w:rPr>
              <w:t>份，电子版（</w:t>
            </w:r>
            <w:r>
              <w:rPr>
                <w:rFonts w:hint="eastAsia" w:ascii="TimesNewRomanPSMT" w:hAnsi="TimesNewRomanPSMT" w:eastAsia="TimesNewRomanPSMT"/>
                <w:sz w:val="24"/>
              </w:rPr>
              <w:t>U</w:t>
            </w:r>
            <w:r>
              <w:rPr>
                <w:rFonts w:hint="eastAsia" w:ascii="宋体" w:hAnsi="宋体" w:eastAsia="宋体"/>
                <w:sz w:val="24"/>
              </w:rPr>
              <w:t xml:space="preserve">盘或光盘） </w:t>
            </w:r>
            <w:r>
              <w:rPr>
                <w:rFonts w:hint="eastAsia" w:ascii="TimesNewRomanPSMT" w:hAnsi="TimesNewRomanPSMT" w:eastAsia="TimesNewRomanPSMT"/>
                <w:sz w:val="24"/>
              </w:rPr>
              <w:t xml:space="preserve">1 </w:t>
            </w:r>
            <w:r>
              <w:rPr>
                <w:rFonts w:hint="eastAsia" w:ascii="宋体" w:hAnsi="宋体" w:eastAsia="宋体"/>
                <w:sz w:val="24"/>
              </w:rPr>
              <w:t>份，所有文件装订成一册，文件内容含</w:t>
            </w:r>
            <w:r>
              <w:rPr>
                <w:rFonts w:hint="eastAsia" w:ascii="宋体" w:hAnsi="宋体" w:eastAsia="宋体"/>
                <w:sz w:val="24"/>
                <w:lang w:val="en-US" w:eastAsia="zh-CN"/>
              </w:rPr>
              <w:t>目录、</w:t>
            </w:r>
            <w:r>
              <w:rPr>
                <w:rFonts w:hint="eastAsia" w:ascii="宋体" w:hAnsi="宋体" w:eastAsia="宋体"/>
                <w:sz w:val="24"/>
              </w:rPr>
              <w:t>联系人手机及邮箱，电子版集成为一个</w:t>
            </w:r>
            <w:r>
              <w:rPr>
                <w:rFonts w:hint="eastAsia" w:ascii="TimesNewRomanPSMT" w:hAnsi="TimesNewRomanPSMT" w:eastAsia="TimesNewRomanPSMT"/>
                <w:sz w:val="24"/>
              </w:rPr>
              <w:t>pdf</w:t>
            </w:r>
            <w:r>
              <w:rPr>
                <w:rFonts w:hint="eastAsia" w:ascii="宋体" w:hAnsi="宋体" w:eastAsia="宋体"/>
                <w:sz w:val="24"/>
              </w:rPr>
              <w:t>扫描件（盖章版）。</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3.5</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响应文件有效期</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49" w:firstLineChars="104"/>
              <w:jc w:val="center"/>
              <w:textAlignment w:val="auto"/>
              <w:outlineLvl w:val="9"/>
              <w:rPr>
                <w:rFonts w:hint="eastAsia" w:ascii="宋体" w:hAnsi="宋体"/>
                <w:sz w:val="24"/>
                <w:highlight w:val="none"/>
              </w:rPr>
            </w:pPr>
            <w:r>
              <w:rPr>
                <w:rFonts w:hint="eastAsia" w:ascii="宋体" w:hAnsi="宋体"/>
                <w:b w:val="0"/>
                <w:bCs w:val="0"/>
                <w:sz w:val="24"/>
                <w:highlight w:val="none"/>
                <w:u w:val="none"/>
                <w:lang w:val="en-US" w:eastAsia="zh-CN"/>
              </w:rPr>
              <w:t>自递交响应文件之日起</w:t>
            </w:r>
            <w:r>
              <w:rPr>
                <w:rFonts w:hint="eastAsia" w:ascii="宋体" w:hAnsi="宋体"/>
                <w:b w:val="0"/>
                <w:bCs w:val="0"/>
                <w:sz w:val="24"/>
                <w:highlight w:val="none"/>
                <w:u w:val="single"/>
                <w:lang w:val="en-US" w:eastAsia="zh-CN"/>
              </w:rPr>
              <w:t xml:space="preserve"> 90 </w:t>
            </w:r>
            <w:r>
              <w:rPr>
                <w:rFonts w:hint="eastAsia" w:ascii="宋体" w:hAnsi="宋体"/>
                <w:b w:val="0"/>
                <w:bCs w:val="0"/>
                <w:sz w:val="24"/>
                <w:highlight w:val="none"/>
                <w:u w:val="none"/>
                <w:lang w:val="en-US" w:eastAsia="zh-CN"/>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51" w:firstLineChars="104"/>
              <w:jc w:val="center"/>
              <w:textAlignment w:val="auto"/>
              <w:outlineLvl w:val="9"/>
              <w:rPr>
                <w:rFonts w:hint="eastAsia" w:ascii="宋体" w:hAnsi="宋体"/>
                <w:b w:val="0"/>
                <w:bCs w:val="0"/>
                <w:sz w:val="24"/>
                <w:highlight w:val="none"/>
                <w:u w:val="none"/>
                <w:lang w:val="en-US" w:eastAsia="zh-CN"/>
              </w:rPr>
            </w:pPr>
            <w:r>
              <w:rPr>
                <w:rFonts w:hint="eastAsia" w:ascii="宋体" w:hAnsi="宋体"/>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报价不一致</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评判标准</w:t>
            </w:r>
          </w:p>
        </w:tc>
        <w:tc>
          <w:tcPr>
            <w:tcW w:w="684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leftChars="0"/>
              <w:jc w:val="left"/>
              <w:textAlignment w:val="auto"/>
              <w:outlineLvl w:val="9"/>
              <w:rPr>
                <w:rFonts w:hint="eastAsia" w:ascii="Times New Roman" w:hAnsi="Times New Roman" w:eastAsia="宋体"/>
                <w:sz w:val="24"/>
                <w:highlight w:val="none"/>
                <w:lang w:eastAsia="zh-CN"/>
              </w:rPr>
            </w:pPr>
            <w:r>
              <w:rPr>
                <w:rFonts w:ascii="Times New Roman" w:hAnsi="Times New Roman"/>
                <w:sz w:val="24"/>
                <w:highlight w:val="none"/>
              </w:rPr>
              <w:t>如</w:t>
            </w:r>
            <w:r>
              <w:rPr>
                <w:rFonts w:hint="eastAsia" w:ascii="Times New Roman" w:hAnsi="Times New Roman"/>
                <w:sz w:val="24"/>
                <w:highlight w:val="none"/>
                <w:lang w:eastAsia="zh-CN"/>
              </w:rPr>
              <w:t>响应</w:t>
            </w:r>
            <w:r>
              <w:rPr>
                <w:rFonts w:ascii="Times New Roman" w:hAnsi="Times New Roman"/>
                <w:sz w:val="24"/>
                <w:highlight w:val="none"/>
              </w:rPr>
              <w:t>文件中出现报价且前后不一致的</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以报价一览表总价（大写）为准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以分项价格表分项报价为准，修正总价</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以所有价格中最低者为准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报价漏项</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如响应文件中分项报价漏项：</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eastAsia="宋体"/>
                <w:sz w:val="24"/>
              </w:rPr>
              <w:t>默认为免费提供</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非“*”号项条款不响应</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如响应文件中对</w:t>
            </w:r>
            <w:r>
              <w:rPr>
                <w:rFonts w:hint="eastAsia" w:ascii="宋体" w:hAnsi="宋体"/>
                <w:sz w:val="24"/>
                <w:highlight w:val="none"/>
                <w:vertAlign w:val="baseline"/>
                <w:lang w:val="en-US" w:eastAsia="zh-CN"/>
              </w:rPr>
              <w:t>非“*”号项条款不响应：</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SegoeUISymbol" w:hAnsi="SegoeUISymbol" w:eastAsia="SegoeUISymbol"/>
                <w:sz w:val="24"/>
              </w:rPr>
              <w:t>☑</w:t>
            </w:r>
            <w:r>
              <w:rPr>
                <w:rFonts w:hint="eastAsia" w:ascii="宋体" w:hAnsi="宋体"/>
                <w:sz w:val="24"/>
                <w:highlight w:val="none"/>
                <w:lang w:val="en-US" w:eastAsia="zh-CN"/>
              </w:rPr>
              <w:t xml:space="preserve"> </w:t>
            </w:r>
            <w:r>
              <w:rPr>
                <w:rFonts w:hint="eastAsia" w:ascii="宋体" w:hAnsi="宋体"/>
                <w:sz w:val="24"/>
                <w:highlight w:val="none"/>
                <w:lang w:eastAsia="zh-CN"/>
              </w:rPr>
              <w:t>超过</w:t>
            </w:r>
            <w:r>
              <w:rPr>
                <w:rFonts w:hint="eastAsia" w:ascii="宋体" w:hAnsi="宋体"/>
                <w:sz w:val="24"/>
                <w:highlight w:val="none"/>
                <w:u w:val="single"/>
                <w:lang w:val="en-US" w:eastAsia="zh-CN"/>
              </w:rPr>
              <w:t xml:space="preserve"> 3 </w:t>
            </w:r>
            <w:r>
              <w:rPr>
                <w:rFonts w:hint="eastAsia" w:ascii="宋体" w:hAnsi="宋体"/>
                <w:sz w:val="24"/>
                <w:highlight w:val="none"/>
                <w:lang w:val="en-US" w:eastAsia="zh-CN"/>
              </w:rPr>
              <w:t>条不响应，废标</w:t>
            </w:r>
          </w:p>
          <w:p>
            <w:pPr>
              <w:spacing w:beforeLines="0" w:afterLines="0"/>
              <w:ind w:firstLine="240" w:firstLineChars="100"/>
              <w:jc w:val="left"/>
              <w:rPr>
                <w:rFonts w:hint="eastAsia" w:ascii="宋体" w:hAnsi="宋体" w:eastAsia="宋体"/>
                <w:sz w:val="24"/>
              </w:rPr>
            </w:pPr>
            <w:r>
              <w:rPr>
                <w:rFonts w:hint="eastAsia" w:ascii="SegoeUISymbol" w:hAnsi="SegoeUISymbol" w:eastAsia="SegoeUISymbol"/>
                <w:sz w:val="24"/>
              </w:rPr>
              <w:t xml:space="preserve">☑ </w:t>
            </w:r>
            <w:r>
              <w:rPr>
                <w:rFonts w:hint="eastAsia" w:ascii="宋体" w:hAnsi="宋体" w:eastAsia="宋体"/>
                <w:sz w:val="24"/>
              </w:rPr>
              <w:t>每不响应1条非“*”号项条款，评审价格上调</w:t>
            </w:r>
            <w:r>
              <w:rPr>
                <w:rFonts w:hint="eastAsia" w:ascii="宋体" w:hAnsi="宋体"/>
                <w:sz w:val="24"/>
                <w:lang w:val="en-US" w:eastAsia="zh-CN"/>
              </w:rPr>
              <w:t>5</w:t>
            </w:r>
            <w:r>
              <w:rPr>
                <w:rFonts w:hint="eastAsia" w:ascii="宋体" w:hAnsi="宋体" w:eastAsia="宋体"/>
                <w:sz w:val="24"/>
              </w:rPr>
              <w:t>%（即1条不响应上调</w:t>
            </w:r>
            <w:r>
              <w:rPr>
                <w:rFonts w:hint="eastAsia" w:ascii="宋体" w:hAnsi="宋体"/>
                <w:sz w:val="24"/>
                <w:lang w:val="en-US" w:eastAsia="zh-CN"/>
              </w:rPr>
              <w:t>5</w:t>
            </w:r>
            <w:r>
              <w:rPr>
                <w:rFonts w:hint="eastAsia" w:ascii="宋体" w:hAnsi="宋体" w:eastAsia="宋体"/>
                <w:sz w:val="24"/>
              </w:rPr>
              <w:t>%，2条不响应上调</w:t>
            </w:r>
            <w:r>
              <w:rPr>
                <w:rFonts w:hint="eastAsia" w:ascii="宋体" w:hAnsi="宋体"/>
                <w:sz w:val="24"/>
                <w:lang w:val="en-US" w:eastAsia="zh-CN"/>
              </w:rPr>
              <w:t>1</w:t>
            </w:r>
            <w:r>
              <w:rPr>
                <w:rFonts w:hint="eastAsia" w:ascii="宋体" w:hAnsi="宋体" w:eastAsia="宋体"/>
                <w:sz w:val="24"/>
              </w:rPr>
              <w:t>0%，以此递增）</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sz w:val="24"/>
          <w:highlight w:val="none"/>
        </w:rPr>
      </w:pPr>
      <w:bookmarkStart w:id="8" w:name="_Hlk27473954"/>
    </w:p>
    <w:bookmarkEnd w:id="6"/>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b/>
          <w:color w:val="000000"/>
          <w:sz w:val="40"/>
          <w:highlight w:val="none"/>
        </w:rPr>
        <w:br w:type="page"/>
      </w:r>
      <w:bookmarkEnd w:id="7"/>
      <w:bookmarkEnd w:id="8"/>
      <w:bookmarkStart w:id="9" w:name="_Toc15799_WPSOffice_Level1"/>
      <w:r>
        <w:rPr>
          <w:rFonts w:hint="eastAsia" w:ascii="方正小标宋简体" w:hAnsi="方正小标宋简体" w:eastAsia="方正小标宋简体" w:cs="方正小标宋简体"/>
          <w:b/>
          <w:bCs w:val="0"/>
          <w:color w:val="000000"/>
          <w:sz w:val="36"/>
          <w:szCs w:val="36"/>
          <w:highlight w:val="none"/>
          <w:lang w:eastAsia="zh-CN"/>
        </w:rPr>
        <w:t>第二</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 xml:space="preserve"> 响应单位须知</w:t>
      </w:r>
      <w:bookmarkEnd w:id="9"/>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w:t>
      </w:r>
      <w:r>
        <w:rPr>
          <w:rFonts w:hint="eastAsia" w:ascii="黑体" w:hAnsi="黑体" w:eastAsia="黑体" w:cs="黑体"/>
          <w:b w:val="0"/>
          <w:bCs w:val="0"/>
          <w:sz w:val="28"/>
          <w:szCs w:val="28"/>
          <w:highlight w:val="none"/>
        </w:rPr>
        <w:t>注意事项：</w:t>
      </w:r>
    </w:p>
    <w:p>
      <w:pPr>
        <w:pStyle w:val="12"/>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应承担所有与准备和参加谈判有关的费用。不论谈判的结果如何，</w:t>
      </w:r>
      <w:r>
        <w:rPr>
          <w:rFonts w:hint="eastAsia" w:ascii="Times New Roman" w:hAnsi="Times New Roman"/>
          <w:sz w:val="24"/>
          <w:highlight w:val="none"/>
          <w:lang w:eastAsia="zh-CN"/>
        </w:rPr>
        <w:t>客服</w:t>
      </w:r>
      <w:r>
        <w:rPr>
          <w:rFonts w:ascii="Times New Roman" w:hAnsi="Times New Roman"/>
          <w:sz w:val="24"/>
          <w:highlight w:val="none"/>
        </w:rPr>
        <w:t>公司均无义务和责任承担这些费用。</w:t>
      </w:r>
    </w:p>
    <w:p>
      <w:pPr>
        <w:pStyle w:val="12"/>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提交的响应文件</w:t>
      </w:r>
      <w:r>
        <w:rPr>
          <w:rFonts w:hint="eastAsia" w:ascii="Times New Roman" w:hAnsi="Times New Roman"/>
          <w:sz w:val="24"/>
          <w:highlight w:val="none"/>
          <w:lang w:eastAsia="zh-CN"/>
        </w:rPr>
        <w:t>纸质</w:t>
      </w:r>
      <w:r>
        <w:rPr>
          <w:rFonts w:ascii="Times New Roman" w:hAnsi="Times New Roman"/>
          <w:sz w:val="24"/>
          <w:highlight w:val="none"/>
        </w:rPr>
        <w:t>版与电子版有差异，以</w:t>
      </w:r>
      <w:r>
        <w:rPr>
          <w:rFonts w:hint="eastAsia" w:ascii="Times New Roman" w:hAnsi="Times New Roman"/>
          <w:sz w:val="24"/>
          <w:highlight w:val="none"/>
          <w:lang w:eastAsia="zh-CN"/>
        </w:rPr>
        <w:t>纸质</w:t>
      </w:r>
      <w:r>
        <w:rPr>
          <w:rFonts w:ascii="Times New Roman" w:hAnsi="Times New Roman"/>
          <w:sz w:val="24"/>
          <w:highlight w:val="none"/>
        </w:rPr>
        <w:t>版为准。</w:t>
      </w:r>
    </w:p>
    <w:p>
      <w:pPr>
        <w:pStyle w:val="12"/>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ascii="Times New Roman" w:hAnsi="Times New Roman"/>
          <w:sz w:val="24"/>
          <w:highlight w:val="none"/>
        </w:rPr>
        <w:t>本文件</w:t>
      </w:r>
      <w:r>
        <w:rPr>
          <w:rFonts w:hint="eastAsia" w:ascii="Times New Roman" w:hAnsi="Times New Roman"/>
          <w:sz w:val="24"/>
          <w:highlight w:val="none"/>
          <w:lang w:eastAsia="zh-CN"/>
        </w:rPr>
        <w:t>第四章及第五章</w:t>
      </w:r>
      <w:r>
        <w:rPr>
          <w:rFonts w:ascii="Times New Roman" w:hAnsi="Times New Roman"/>
          <w:sz w:val="24"/>
          <w:highlight w:val="none"/>
        </w:rPr>
        <w:t>中标注“*”号的均为关键</w:t>
      </w:r>
      <w:r>
        <w:rPr>
          <w:rFonts w:hint="eastAsia" w:ascii="Times New Roman" w:hAnsi="Times New Roman"/>
          <w:sz w:val="24"/>
          <w:highlight w:val="none"/>
          <w:lang w:eastAsia="zh-CN"/>
        </w:rPr>
        <w:t>商务要求</w:t>
      </w:r>
      <w:r>
        <w:rPr>
          <w:rFonts w:ascii="Times New Roman" w:hAnsi="Times New Roman"/>
          <w:sz w:val="24"/>
          <w:highlight w:val="none"/>
        </w:rPr>
        <w:t>或关键</w:t>
      </w:r>
      <w:r>
        <w:rPr>
          <w:rFonts w:hint="eastAsia" w:ascii="Times New Roman" w:hAnsi="Times New Roman"/>
          <w:sz w:val="24"/>
          <w:highlight w:val="none"/>
          <w:lang w:eastAsia="zh-CN"/>
        </w:rPr>
        <w:t>技术要求</w:t>
      </w:r>
      <w:r>
        <w:rPr>
          <w:rFonts w:ascii="Times New Roman" w:hAnsi="Times New Roman"/>
          <w:sz w:val="24"/>
          <w:highlight w:val="none"/>
        </w:rPr>
        <w:t>，对这些条款的偏离将导致响应文件被否决。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highlight w:val="none"/>
        </w:rPr>
      </w:pPr>
      <w:r>
        <w:rPr>
          <w:rFonts w:ascii="Times New Roman" w:hAnsi="Times New Roman"/>
          <w:sz w:val="24"/>
          <w:highlight w:val="none"/>
        </w:rPr>
        <w:t>在</w:t>
      </w:r>
      <w:r>
        <w:rPr>
          <w:rFonts w:hint="eastAsia" w:ascii="Times New Roman" w:hAnsi="Times New Roman"/>
          <w:sz w:val="24"/>
          <w:highlight w:val="none"/>
          <w:lang w:eastAsia="zh-CN"/>
        </w:rPr>
        <w:t>响应文件</w:t>
      </w:r>
      <w:r>
        <w:rPr>
          <w:rFonts w:ascii="Times New Roman" w:hAnsi="Times New Roman"/>
          <w:sz w:val="24"/>
          <w:highlight w:val="none"/>
        </w:rPr>
        <w:t>递交截止前的任何时候，无论出于何种原因，</w:t>
      </w:r>
      <w:r>
        <w:rPr>
          <w:rFonts w:hint="eastAsia" w:ascii="Times New Roman" w:hAnsi="Times New Roman"/>
          <w:sz w:val="24"/>
          <w:highlight w:val="none"/>
          <w:lang w:eastAsia="zh-CN"/>
        </w:rPr>
        <w:t>客服</w:t>
      </w:r>
      <w:r>
        <w:rPr>
          <w:rFonts w:ascii="Times New Roman" w:hAnsi="Times New Roman"/>
          <w:sz w:val="24"/>
          <w:highlight w:val="none"/>
        </w:rPr>
        <w:t>公司可对</w:t>
      </w:r>
      <w:r>
        <w:rPr>
          <w:rFonts w:hint="eastAsia" w:ascii="Times New Roman" w:hAnsi="Times New Roman"/>
          <w:sz w:val="24"/>
          <w:highlight w:val="none"/>
          <w:lang w:eastAsia="zh-CN"/>
        </w:rPr>
        <w:t>竞争性谈判文件内容</w:t>
      </w:r>
      <w:r>
        <w:rPr>
          <w:rFonts w:ascii="Times New Roman" w:hAnsi="Times New Roman"/>
          <w:sz w:val="24"/>
          <w:highlight w:val="none"/>
        </w:rPr>
        <w:t>进行修改。</w:t>
      </w:r>
      <w:r>
        <w:rPr>
          <w:rFonts w:hint="eastAsia" w:ascii="Times New Roman" w:hAnsi="Times New Roman"/>
          <w:sz w:val="24"/>
          <w:highlight w:val="none"/>
          <w:lang w:eastAsia="zh-CN"/>
        </w:rPr>
        <w:t>文件的修改</w:t>
      </w:r>
      <w:r>
        <w:rPr>
          <w:rFonts w:ascii="Times New Roman" w:hAnsi="Times New Roman"/>
          <w:sz w:val="24"/>
          <w:highlight w:val="none"/>
        </w:rPr>
        <w:t>将以</w:t>
      </w:r>
      <w:r>
        <w:rPr>
          <w:rFonts w:hint="eastAsia" w:ascii="Times New Roman" w:hAnsi="Times New Roman"/>
          <w:b/>
          <w:bCs/>
          <w:i w:val="0"/>
          <w:iCs w:val="0"/>
          <w:sz w:val="24"/>
          <w:highlight w:val="none"/>
          <w:lang w:eastAsia="zh-CN"/>
        </w:rPr>
        <w:t>书面或邮件的形式</w:t>
      </w:r>
      <w:r>
        <w:rPr>
          <w:rFonts w:ascii="Times New Roman" w:hAnsi="Times New Roman"/>
          <w:sz w:val="24"/>
          <w:highlight w:val="none"/>
        </w:rPr>
        <w:t>通知所有受邀请</w:t>
      </w:r>
      <w:r>
        <w:rPr>
          <w:rFonts w:hint="eastAsia" w:ascii="Times New Roman" w:hAnsi="Times New Roman"/>
          <w:sz w:val="24"/>
          <w:highlight w:val="none"/>
          <w:lang w:eastAsia="zh-CN"/>
        </w:rPr>
        <w:t>单位</w:t>
      </w:r>
      <w:r>
        <w:rPr>
          <w:rFonts w:ascii="Times New Roman" w:hAnsi="Times New Roman"/>
          <w:sz w:val="24"/>
          <w:highlight w:val="none"/>
        </w:rPr>
        <w:t>，</w:t>
      </w:r>
      <w:r>
        <w:rPr>
          <w:rFonts w:hint="eastAsia" w:ascii="Times New Roman" w:hAnsi="Times New Roman"/>
          <w:sz w:val="24"/>
          <w:highlight w:val="none"/>
          <w:lang w:eastAsia="zh-CN"/>
        </w:rPr>
        <w:t>修改文件与竞争性谈判文件具有同等效力</w:t>
      </w:r>
      <w:r>
        <w:rPr>
          <w:rFonts w:ascii="Times New Roman" w:hAnsi="Times New Roman"/>
          <w:sz w:val="24"/>
          <w:highlight w:val="none"/>
        </w:rPr>
        <w:t>。</w:t>
      </w:r>
      <w:r>
        <w:rPr>
          <w:rFonts w:hint="eastAsia" w:ascii="Times New Roman" w:hAnsi="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响应单位代表为单位法定代表人，应出具法定代表人声明及法定代表人身份证复印件（法定代表人签字或盖章）</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响应单位代表如非单位法定代表人，则应提供由法定代表人出具的《法定代表人授权委托书》、法定代表人身份证复印件（法定代表人签字或盖章）、授权代表人身份证复印件（授权代表人签字或盖章）。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响应文件编制、提交要求</w:t>
      </w:r>
    </w:p>
    <w:p>
      <w:pPr>
        <w:pStyle w:val="12"/>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lang w:eastAsia="zh-CN"/>
        </w:rPr>
        <w:t>本文件第一章</w:t>
      </w:r>
      <w:r>
        <w:rPr>
          <w:rFonts w:hint="eastAsia" w:ascii="Times New Roman" w:hAnsi="Times New Roman"/>
          <w:sz w:val="24"/>
          <w:highlight w:val="none"/>
          <w:lang w:val="en-US" w:eastAsia="zh-CN"/>
        </w:rPr>
        <w:t xml:space="preserve"> 3.2中要求的所有文件</w:t>
      </w:r>
      <w:r>
        <w:rPr>
          <w:rFonts w:hint="eastAsia" w:ascii="Times New Roman" w:hAnsi="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b/>
          <w:bCs/>
          <w:sz w:val="24"/>
          <w:highlight w:val="none"/>
        </w:rPr>
      </w:pPr>
      <w:r>
        <w:rPr>
          <w:rFonts w:hint="eastAsia" w:ascii="Times New Roman" w:hAnsi="Times New Roman"/>
          <w:b/>
          <w:bCs/>
          <w:sz w:val="24"/>
          <w:highlight w:val="none"/>
        </w:rPr>
        <w:t>供应商无论成交与否，其响应文件不予退还。</w:t>
      </w:r>
    </w:p>
    <w:p>
      <w:pPr>
        <w:pStyle w:val="12"/>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响应单位应完整地填写本文件中提供的报价一览表和分项报价表。</w:t>
      </w:r>
    </w:p>
    <w:p>
      <w:pPr>
        <w:pStyle w:val="12"/>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响应单位</w:t>
      </w:r>
      <w:r>
        <w:rPr>
          <w:rFonts w:hint="eastAsia" w:ascii="宋体" w:hAnsi="宋体" w:eastAsia="宋体" w:cs="宋体"/>
          <w:b/>
          <w:bCs/>
          <w:spacing w:val="-4"/>
          <w:sz w:val="24"/>
          <w:szCs w:val="24"/>
          <w:highlight w:val="none"/>
        </w:rPr>
        <w:t>应根据</w:t>
      </w:r>
      <w:r>
        <w:rPr>
          <w:rFonts w:hint="eastAsia" w:ascii="宋体" w:hAnsi="宋体" w:eastAsia="宋体" w:cs="宋体"/>
          <w:b/>
          <w:bCs/>
          <w:spacing w:val="-4"/>
          <w:sz w:val="24"/>
          <w:szCs w:val="24"/>
          <w:highlight w:val="none"/>
          <w:lang w:eastAsia="zh-CN"/>
        </w:rPr>
        <w:t>邀请</w:t>
      </w:r>
      <w:r>
        <w:rPr>
          <w:rFonts w:hint="eastAsia" w:ascii="宋体" w:hAnsi="宋体" w:eastAsia="宋体" w:cs="宋体"/>
          <w:b/>
          <w:bCs/>
          <w:spacing w:val="-4"/>
          <w:sz w:val="24"/>
          <w:szCs w:val="24"/>
          <w:highlight w:val="none"/>
        </w:rPr>
        <w:t>文件的要求提供服务方案等内容</w:t>
      </w:r>
      <w:r>
        <w:rPr>
          <w:rFonts w:hint="eastAsia" w:ascii="宋体" w:hAnsi="宋体" w:eastAsia="宋体" w:cs="宋体"/>
          <w:b/>
          <w:bCs/>
          <w:spacing w:val="-4"/>
          <w:sz w:val="24"/>
          <w:szCs w:val="24"/>
          <w:highlight w:val="none"/>
          <w:lang w:val="en-US" w:eastAsia="zh-CN"/>
        </w:rPr>
        <w:t>,</w:t>
      </w:r>
      <w:r>
        <w:rPr>
          <w:rFonts w:hint="eastAsia" w:ascii="宋体" w:hAnsi="宋体" w:eastAsia="宋体" w:cs="宋体"/>
          <w:b/>
          <w:bCs/>
          <w:spacing w:val="-3"/>
          <w:sz w:val="24"/>
          <w:szCs w:val="24"/>
          <w:highlight w:val="none"/>
        </w:rPr>
        <w:t>以</w:t>
      </w:r>
      <w:r>
        <w:rPr>
          <w:rFonts w:hint="eastAsia" w:ascii="宋体" w:hAnsi="宋体" w:eastAsia="宋体" w:cs="宋体"/>
          <w:b/>
          <w:bCs/>
          <w:spacing w:val="-3"/>
          <w:sz w:val="24"/>
          <w:szCs w:val="24"/>
          <w:highlight w:val="none"/>
          <w:lang w:eastAsia="zh-CN"/>
        </w:rPr>
        <w:t>佐证对服务要求的</w:t>
      </w:r>
      <w:r>
        <w:rPr>
          <w:rFonts w:hint="eastAsia" w:ascii="宋体" w:hAnsi="宋体" w:eastAsia="宋体" w:cs="宋体"/>
          <w:b/>
          <w:bCs/>
          <w:spacing w:val="-3"/>
          <w:sz w:val="24"/>
          <w:szCs w:val="24"/>
          <w:highlight w:val="none"/>
        </w:rPr>
        <w:t>响应</w:t>
      </w:r>
      <w:r>
        <w:rPr>
          <w:rFonts w:hint="eastAsia" w:ascii="宋体" w:hAnsi="宋体" w:eastAsia="宋体" w:cs="宋体"/>
          <w:b/>
          <w:bCs/>
          <w:spacing w:val="-3"/>
          <w:sz w:val="24"/>
          <w:szCs w:val="24"/>
          <w:highlight w:val="none"/>
          <w:lang w:eastAsia="zh-CN"/>
        </w:rPr>
        <w:t>。</w:t>
      </w:r>
    </w:p>
    <w:p>
      <w:pPr>
        <w:pStyle w:val="12"/>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本文件所指“公章”指需要响应单位的公司章，“投标专用章”、“合同专用章”等均不属于公章。</w:t>
      </w:r>
      <w:r>
        <w:rPr>
          <w:rFonts w:hint="eastAsia" w:ascii="Times New Roman" w:hAnsi="Times New Roman"/>
          <w:sz w:val="24"/>
          <w:highlight w:val="none"/>
          <w:lang w:eastAsia="zh-CN"/>
        </w:rPr>
        <w:tab/>
      </w:r>
    </w:p>
    <w:p>
      <w:pPr>
        <w:pStyle w:val="12"/>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响应文件的</w:t>
      </w:r>
      <w:r>
        <w:rPr>
          <w:rFonts w:hint="eastAsia" w:ascii="Times New Roman" w:hAnsi="Times New Roman"/>
          <w:sz w:val="24"/>
          <w:highlight w:val="none"/>
          <w:lang w:val="en-US" w:eastAsia="zh-CN"/>
        </w:rPr>
        <w:t>纸质版本</w:t>
      </w:r>
      <w:r>
        <w:rPr>
          <w:rFonts w:hint="eastAsia" w:ascii="Times New Roman" w:hAnsi="Times New Roman"/>
          <w:sz w:val="24"/>
          <w:highlight w:val="none"/>
          <w:lang w:eastAsia="zh-CN"/>
        </w:rPr>
        <w:t>应打印或用不褪色墨水书写，不得有任何修改。提供的电子版本应为响应文件正本的扫描件（红章）。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竞争性谈判步骤：</w:t>
      </w:r>
    </w:p>
    <w:p>
      <w:pPr>
        <w:pStyle w:val="12"/>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所有被邀请单位于规定的时间截止前提交响应文件。</w:t>
      </w:r>
    </w:p>
    <w:p>
      <w:pPr>
        <w:pStyle w:val="12"/>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供应商选择工作小组按照竞争性谈判文件要求开展评审，评审过程中，供应商选择工作小组可与受邀供应商开展谈判，谈判后供应商应提交最终版的响应文件及报价。</w:t>
      </w:r>
    </w:p>
    <w:p>
      <w:pPr>
        <w:pStyle w:val="12"/>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val="en-US" w:eastAsia="zh-CN"/>
        </w:rPr>
        <w:t>供应商选择工作小组</w:t>
      </w:r>
      <w:r>
        <w:rPr>
          <w:rFonts w:hint="eastAsia" w:ascii="Times New Roman" w:hAnsi="Times New Roman"/>
          <w:sz w:val="24"/>
          <w:highlight w:val="none"/>
          <w:lang w:eastAsia="zh-CN"/>
        </w:rPr>
        <w:t>选择满足竞争性谈判文件实质性要求，并且经评审最优的供应商为成交候选人。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响应单位串标、围标的认定：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响应单位有以下情况的，响应文件将认定无效。</w:t>
      </w:r>
    </w:p>
    <w:p>
      <w:pPr>
        <w:pStyle w:val="12"/>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不同响应单位的响应文件由同一单位或者个人编制；</w:t>
      </w:r>
    </w:p>
    <w:p>
      <w:pPr>
        <w:pStyle w:val="12"/>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不同响应单位委托同一单位或者个人办理响应事宜；</w:t>
      </w:r>
    </w:p>
    <w:p>
      <w:pPr>
        <w:pStyle w:val="12"/>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不同响应单位的响应文件载明的项目管理成员或者联系人员为同一人；</w:t>
      </w:r>
    </w:p>
    <w:p>
      <w:pPr>
        <w:pStyle w:val="12"/>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不同响应单位的响应文件存在异常一致的错误；</w:t>
      </w:r>
    </w:p>
    <w:p>
      <w:pPr>
        <w:pStyle w:val="12"/>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不同响应单位的响应文件相互混装。</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bookmarkStart w:id="10" w:name="_Hlk11752017"/>
      <w:bookmarkStart w:id="11"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Start w:id="12" w:name="_Toc31820_WPSOffice_Level1"/>
      <w:r>
        <w:rPr>
          <w:rFonts w:hint="eastAsia" w:ascii="方正小标宋简体" w:hAnsi="方正小标宋简体" w:eastAsia="方正小标宋简体" w:cs="方正小标宋简体"/>
          <w:b/>
          <w:bCs w:val="0"/>
          <w:color w:val="000000"/>
          <w:sz w:val="36"/>
          <w:szCs w:val="36"/>
          <w:highlight w:val="none"/>
          <w:lang w:eastAsia="zh-CN"/>
        </w:rPr>
        <w:t>第三</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评审办法</w:t>
      </w:r>
      <w:bookmarkEnd w:id="12"/>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Calibri" w:hAnsi="Calibri" w:cs="Calibri"/>
          <w:snapToGrid w:val="0"/>
          <w:color w:val="000000"/>
          <w:sz w:val="24"/>
          <w:szCs w:val="24"/>
          <w:highlight w:val="none"/>
        </w:rPr>
      </w:pPr>
      <w:bookmarkStart w:id="13" w:name="_Hlk35936740"/>
      <w:r>
        <w:rPr>
          <w:rFonts w:hint="eastAsia" w:ascii="Calibri" w:hAnsi="Calibri" w:cs="Calibri"/>
          <w:snapToGrid w:val="0"/>
          <w:sz w:val="24"/>
          <w:szCs w:val="24"/>
          <w:highlight w:val="none"/>
          <w:lang w:eastAsia="zh-CN"/>
        </w:rPr>
        <w:t>项目评审</w:t>
      </w:r>
      <w:r>
        <w:rPr>
          <w:rFonts w:ascii="Calibri" w:hAnsi="Calibri" w:cs="Calibri"/>
          <w:snapToGrid w:val="0"/>
          <w:sz w:val="24"/>
          <w:szCs w:val="24"/>
          <w:highlight w:val="none"/>
          <w:lang w:eastAsia="ko-KR"/>
        </w:rPr>
        <w:t>由</w:t>
      </w:r>
      <w:r>
        <w:rPr>
          <w:rFonts w:hint="eastAsia" w:ascii="Calibri" w:hAnsi="Calibri" w:cs="Calibri"/>
          <w:snapToGrid w:val="0"/>
          <w:sz w:val="24"/>
          <w:szCs w:val="24"/>
          <w:highlight w:val="none"/>
          <w:lang w:eastAsia="zh-CN"/>
        </w:rPr>
        <w:t>客服公司组建的供应商选择工作小组负责</w:t>
      </w:r>
      <w:r>
        <w:rPr>
          <w:rFonts w:ascii="Calibri" w:hAnsi="Calibri" w:cs="Calibri"/>
          <w:snapToGrid w:val="0"/>
          <w:sz w:val="24"/>
          <w:szCs w:val="24"/>
          <w:highlight w:val="none"/>
          <w:lang w:eastAsia="ko-KR"/>
        </w:rPr>
        <w:t>。</w:t>
      </w: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将</w:t>
      </w:r>
      <w:r>
        <w:rPr>
          <w:rFonts w:hint="eastAsia" w:ascii="Calibri" w:hAnsi="Calibri" w:cs="Calibri"/>
          <w:snapToGrid w:val="0"/>
          <w:sz w:val="24"/>
          <w:szCs w:val="24"/>
          <w:highlight w:val="none"/>
          <w:lang w:eastAsia="zh-CN"/>
        </w:rPr>
        <w:t>按照本文件</w:t>
      </w:r>
      <w:r>
        <w:rPr>
          <w:rFonts w:ascii="Calibri" w:hAnsi="Calibri" w:cs="Calibri"/>
          <w:snapToGrid w:val="0"/>
          <w:sz w:val="24"/>
          <w:szCs w:val="24"/>
          <w:highlight w:val="none"/>
          <w:lang w:eastAsia="ko-KR"/>
        </w:rPr>
        <w:t>确定</w:t>
      </w:r>
      <w:r>
        <w:rPr>
          <w:rFonts w:ascii="Calibri" w:hAnsi="Calibri" w:cs="Calibri"/>
          <w:snapToGrid w:val="0"/>
          <w:color w:val="000000"/>
          <w:sz w:val="24"/>
          <w:szCs w:val="24"/>
          <w:highlight w:val="none"/>
          <w:lang w:eastAsia="ko-KR"/>
        </w:rPr>
        <w:t>的</w:t>
      </w:r>
      <w:r>
        <w:rPr>
          <w:rFonts w:hint="eastAsia" w:ascii="Calibri" w:hAnsi="Calibri" w:cs="Calibri"/>
          <w:snapToGrid w:val="0"/>
          <w:color w:val="000000"/>
          <w:sz w:val="24"/>
          <w:szCs w:val="24"/>
          <w:highlight w:val="none"/>
          <w:lang w:eastAsia="zh-CN"/>
        </w:rPr>
        <w:t>评审方式</w:t>
      </w:r>
      <w:r>
        <w:rPr>
          <w:rFonts w:ascii="Calibri" w:hAnsi="Calibri" w:cs="Calibri"/>
          <w:snapToGrid w:val="0"/>
          <w:color w:val="000000"/>
          <w:sz w:val="24"/>
          <w:szCs w:val="24"/>
          <w:highlight w:val="none"/>
          <w:lang w:eastAsia="ko-KR"/>
        </w:rPr>
        <w:t>进行</w:t>
      </w:r>
      <w:r>
        <w:rPr>
          <w:rFonts w:hint="eastAsia" w:ascii="Calibri" w:hAnsi="Calibri" w:cs="Calibri"/>
          <w:snapToGrid w:val="0"/>
          <w:color w:val="000000"/>
          <w:sz w:val="24"/>
          <w:szCs w:val="24"/>
          <w:highlight w:val="none"/>
          <w:lang w:eastAsia="zh-CN"/>
        </w:rPr>
        <w:t>评审。评审过程分为</w:t>
      </w:r>
      <w:r>
        <w:rPr>
          <w:rFonts w:ascii="Calibri" w:hAnsi="Calibri" w:cs="Calibri"/>
          <w:snapToGrid w:val="0"/>
          <w:color w:val="000000"/>
          <w:sz w:val="24"/>
          <w:szCs w:val="24"/>
          <w:highlight w:val="none"/>
          <w:lang w:eastAsia="ko-KR"/>
        </w:rPr>
        <w:t>符合性评审</w:t>
      </w:r>
      <w:r>
        <w:rPr>
          <w:rFonts w:hint="eastAsia" w:ascii="Calibri" w:hAnsi="Calibri" w:cs="Calibri"/>
          <w:snapToGrid w:val="0"/>
          <w:color w:val="000000"/>
          <w:sz w:val="24"/>
          <w:szCs w:val="24"/>
          <w:highlight w:val="none"/>
          <w:lang w:eastAsia="zh-CN"/>
        </w:rPr>
        <w:t>、商务谈判（按需）</w:t>
      </w:r>
      <w:r>
        <w:rPr>
          <w:rFonts w:ascii="Calibri" w:hAnsi="Calibri" w:cs="Calibri"/>
          <w:snapToGrid w:val="0"/>
          <w:color w:val="000000"/>
          <w:sz w:val="24"/>
          <w:szCs w:val="24"/>
          <w:highlight w:val="none"/>
          <w:lang w:eastAsia="ko-KR"/>
        </w:rPr>
        <w:t>和</w:t>
      </w:r>
      <w:r>
        <w:rPr>
          <w:rFonts w:hint="eastAsia" w:ascii="Calibri" w:hAnsi="Calibri" w:cs="Calibri"/>
          <w:snapToGrid w:val="0"/>
          <w:color w:val="000000"/>
          <w:sz w:val="24"/>
          <w:szCs w:val="24"/>
          <w:highlight w:val="none"/>
          <w:lang w:eastAsia="zh-CN"/>
        </w:rPr>
        <w:t>最终</w:t>
      </w:r>
      <w:r>
        <w:rPr>
          <w:rFonts w:ascii="Calibri" w:hAnsi="Calibri" w:cs="Calibri"/>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Calibri" w:hAnsi="Calibri" w:cs="Calibri"/>
          <w:snapToGrid w:val="0"/>
          <w:sz w:val="24"/>
          <w:szCs w:val="24"/>
          <w:highlight w:val="none"/>
          <w:lang w:eastAsia="ko-KR"/>
        </w:rPr>
      </w:pP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首先对所有</w:t>
      </w:r>
      <w:r>
        <w:rPr>
          <w:rFonts w:hint="eastAsia" w:ascii="Calibri" w:hAnsi="Calibri" w:cs="Calibri"/>
          <w:snapToGrid w:val="0"/>
          <w:sz w:val="24"/>
          <w:szCs w:val="24"/>
          <w:highlight w:val="none"/>
          <w:lang w:eastAsia="zh-CN"/>
        </w:rPr>
        <w:t>响应文件</w:t>
      </w:r>
      <w:r>
        <w:rPr>
          <w:rFonts w:ascii="Calibri" w:hAnsi="Calibri" w:cs="Calibri"/>
          <w:snapToGrid w:val="0"/>
          <w:sz w:val="24"/>
          <w:szCs w:val="24"/>
          <w:highlight w:val="none"/>
          <w:lang w:eastAsia="ko-KR"/>
        </w:rPr>
        <w:t>做符合性</w:t>
      </w:r>
      <w:r>
        <w:rPr>
          <w:rFonts w:hint="eastAsia" w:ascii="Calibri" w:hAnsi="Calibri" w:cs="Calibri"/>
          <w:snapToGrid w:val="0"/>
          <w:sz w:val="24"/>
          <w:szCs w:val="24"/>
          <w:highlight w:val="none"/>
          <w:lang w:eastAsia="zh-CN"/>
        </w:rPr>
        <w:t>评审</w:t>
      </w:r>
      <w:r>
        <w:rPr>
          <w:rFonts w:ascii="Calibri" w:hAnsi="Calibri" w:cs="Calibri"/>
          <w:snapToGrid w:val="0"/>
          <w:sz w:val="24"/>
          <w:szCs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lang w:eastAsia="zh-CN"/>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szCs w:val="24"/>
          <w:highlight w:val="none"/>
          <w:lang w:eastAsia="ko-KR"/>
        </w:rPr>
        <w:t>主要评议各</w:t>
      </w:r>
      <w:r>
        <w:rPr>
          <w:rFonts w:hint="eastAsia" w:ascii="Calibri" w:hAnsi="Calibri" w:cs="Calibri"/>
          <w:snapToGrid w:val="0"/>
          <w:sz w:val="24"/>
          <w:szCs w:val="24"/>
          <w:highlight w:val="none"/>
          <w:lang w:eastAsia="zh-CN"/>
        </w:rPr>
        <w:t>响应单位</w:t>
      </w:r>
      <w:r>
        <w:rPr>
          <w:rFonts w:ascii="Calibri" w:hAnsi="Calibri" w:cs="Calibri"/>
          <w:snapToGrid w:val="0"/>
          <w:sz w:val="24"/>
          <w:szCs w:val="24"/>
          <w:highlight w:val="none"/>
          <w:lang w:eastAsia="ko-KR"/>
        </w:rPr>
        <w:t>是否按</w:t>
      </w:r>
      <w:r>
        <w:rPr>
          <w:rFonts w:hint="eastAsia" w:ascii="Calibri" w:hAnsi="Calibri" w:cs="Calibri"/>
          <w:snapToGrid w:val="0"/>
          <w:sz w:val="24"/>
          <w:szCs w:val="24"/>
          <w:highlight w:val="none"/>
          <w:lang w:eastAsia="zh-CN"/>
        </w:rPr>
        <w:t>竞争性谈判</w:t>
      </w:r>
      <w:r>
        <w:rPr>
          <w:rFonts w:ascii="Calibri" w:hAnsi="Calibri" w:cs="Calibri"/>
          <w:snapToGrid w:val="0"/>
          <w:sz w:val="24"/>
          <w:szCs w:val="24"/>
          <w:highlight w:val="none"/>
          <w:lang w:eastAsia="ko-KR"/>
        </w:rPr>
        <w:t>文件的要求提供了所有关键性文件，包括：法人代表授权书</w:t>
      </w:r>
      <w:r>
        <w:rPr>
          <w:rFonts w:hint="eastAsia" w:ascii="Calibri" w:hAnsi="Calibri" w:cs="Calibri"/>
          <w:snapToGrid w:val="0"/>
          <w:sz w:val="24"/>
          <w:szCs w:val="24"/>
          <w:highlight w:val="none"/>
          <w:lang w:eastAsia="zh-CN"/>
        </w:rPr>
        <w:t>（如有）</w:t>
      </w:r>
      <w:r>
        <w:rPr>
          <w:rFonts w:ascii="Calibri" w:hAnsi="Calibri" w:cs="Calibri"/>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lang w:eastAsia="zh-CN"/>
              </w:rPr>
            </w:pPr>
            <w:r>
              <w:rPr>
                <w:rFonts w:hint="eastAsia" w:ascii="宋体" w:hAnsi="宋体"/>
                <w:szCs w:val="21"/>
                <w:highlight w:val="none"/>
                <w:lang w:eastAsia="zh-CN"/>
              </w:rPr>
              <w:t>序号</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评审内容</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营业执照</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商务要求或技术要求</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w:t>
            </w:r>
            <w:r>
              <w:rPr>
                <w:rFonts w:hint="eastAsia" w:ascii="宋体" w:hAnsi="宋体"/>
                <w:szCs w:val="21"/>
                <w:highlight w:val="none"/>
                <w:lang w:eastAsia="zh-CN"/>
              </w:rPr>
              <w:t>响应</w:t>
            </w:r>
            <w:r>
              <w:rPr>
                <w:rFonts w:hint="eastAsia" w:ascii="宋体" w:hAnsi="宋体"/>
                <w:szCs w:val="21"/>
                <w:highlight w:val="none"/>
              </w:rPr>
              <w:t>竞争性谈判文件</w:t>
            </w:r>
            <w:r>
              <w:rPr>
                <w:rFonts w:hint="eastAsia" w:ascii="宋体" w:hAnsi="宋体"/>
                <w:szCs w:val="21"/>
                <w:highlight w:val="none"/>
                <w:lang w:eastAsia="zh-CN"/>
              </w:rPr>
              <w:t>“</w:t>
            </w:r>
            <w:r>
              <w:rPr>
                <w:rFonts w:hint="eastAsia" w:ascii="宋体" w:hAnsi="宋体"/>
                <w:szCs w:val="21"/>
                <w:highlight w:val="none"/>
                <w:lang w:val="en-US" w:eastAsia="zh-CN"/>
              </w:rPr>
              <w:t>*</w:t>
            </w:r>
            <w:r>
              <w:rPr>
                <w:rFonts w:hint="eastAsia" w:ascii="宋体" w:hAnsi="宋体"/>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rPr>
              <w:t>供应商名称</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文件签署</w:t>
            </w:r>
          </w:p>
        </w:tc>
        <w:tc>
          <w:tcPr>
            <w:tcW w:w="5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未按竞争性谈判文件要求</w:t>
            </w:r>
            <w:r>
              <w:rPr>
                <w:rFonts w:hint="eastAsia" w:ascii="宋体" w:hAnsi="宋体"/>
                <w:szCs w:val="21"/>
                <w:highlight w:val="none"/>
                <w:lang w:eastAsia="zh-CN"/>
              </w:rPr>
              <w:t>签署或</w:t>
            </w:r>
            <w:r>
              <w:rPr>
                <w:rFonts w:hint="eastAsia" w:ascii="宋体" w:hAnsi="宋体"/>
                <w:szCs w:val="21"/>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方案及报价</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递交两份或多份内容不同的</w:t>
            </w:r>
            <w:r>
              <w:rPr>
                <w:rFonts w:hint="eastAsia" w:ascii="宋体" w:hAnsi="宋体"/>
                <w:szCs w:val="21"/>
                <w:highlight w:val="none"/>
                <w:lang w:eastAsia="zh-CN"/>
              </w:rPr>
              <w:t>响应文件</w:t>
            </w:r>
            <w:r>
              <w:rPr>
                <w:rFonts w:hint="eastAsia" w:ascii="宋体" w:hAnsi="宋体"/>
                <w:szCs w:val="21"/>
                <w:highlight w:val="none"/>
              </w:rPr>
              <w:t>，或在一份</w:t>
            </w:r>
            <w:r>
              <w:rPr>
                <w:rFonts w:hint="eastAsia" w:ascii="宋体" w:hAnsi="宋体"/>
                <w:szCs w:val="21"/>
                <w:highlight w:val="none"/>
                <w:lang w:eastAsia="zh-CN"/>
              </w:rPr>
              <w:t>响应文件</w:t>
            </w:r>
            <w:r>
              <w:rPr>
                <w:rFonts w:hint="eastAsia" w:ascii="宋体" w:hAnsi="宋体"/>
                <w:szCs w:val="21"/>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响应文件</w:t>
            </w:r>
            <w:r>
              <w:rPr>
                <w:rFonts w:hint="eastAsia" w:ascii="宋体" w:hAnsi="宋体"/>
                <w:szCs w:val="21"/>
                <w:highlight w:val="none"/>
              </w:rPr>
              <w:t>有效期</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lang w:eastAsia="zh-CN"/>
              </w:rPr>
              <w:t>服务期限</w:t>
            </w:r>
            <w:r>
              <w:rPr>
                <w:rFonts w:hint="eastAsia" w:ascii="宋体" w:hAnsi="宋体"/>
                <w:szCs w:val="21"/>
                <w:highlight w:val="none"/>
              </w:rPr>
              <w:t>或付款方式</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其他</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供应商选择工作小组可自行决定与供应商开展商务谈判，谈判将与响应单位单独进行，谈判内容应仅限于对响应文件内容的确认以及对价格的谈判。谈判需形成书面文件，所有参与商务谈判的人员需签字确认。响应单位有义务配合供应商选择工作小组的约谈要求。如响应单位拒绝供应商选择工作小组的谈判要求，供应商选择工作小组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谈判结束后，响应单位应在规定时间内提交最后方案及报价，最终方案及报价是供应商响应文件的有效组成部分，其效力相同。</w:t>
      </w:r>
    </w:p>
    <w:bookmarkEnd w:id="13"/>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eastAsia" w:ascii="Calibri" w:hAnsi="Calibri" w:cs="Calibri"/>
          <w:b/>
          <w:bCs/>
          <w:snapToGrid w:val="0"/>
          <w:sz w:val="24"/>
          <w:szCs w:val="24"/>
          <w:highlight w:val="none"/>
          <w:lang w:val="en-US" w:eastAsia="zh-CN"/>
        </w:rPr>
      </w:pPr>
      <w:r>
        <w:rPr>
          <w:rFonts w:hint="eastAsia" w:ascii="Calibri" w:hAnsi="Calibri" w:cs="Calibri"/>
          <w:b/>
          <w:bCs/>
          <w:snapToGrid w:val="0"/>
          <w:sz w:val="24"/>
          <w:szCs w:val="24"/>
          <w:highlight w:val="none"/>
          <w:lang w:eastAsia="zh-CN"/>
        </w:rPr>
        <w:t>本项目采用</w:t>
      </w:r>
      <w:r>
        <w:rPr>
          <w:rFonts w:hint="eastAsia" w:ascii="Calibri" w:hAnsi="Calibri" w:cs="Calibri"/>
          <w:b/>
          <w:bCs/>
          <w:snapToGrid w:val="0"/>
          <w:sz w:val="24"/>
          <w:szCs w:val="24"/>
          <w:highlight w:val="none"/>
          <w:u w:val="single"/>
          <w:lang w:val="en-US" w:eastAsia="zh-CN"/>
        </w:rPr>
        <w:t xml:space="preserve">   最低评标价法   </w:t>
      </w:r>
      <w:r>
        <w:rPr>
          <w:rFonts w:hint="eastAsia" w:ascii="Calibri" w:hAnsi="Calibri" w:cs="Calibri"/>
          <w:b/>
          <w:bCs/>
          <w:snapToGrid w:val="0"/>
          <w:sz w:val="24"/>
          <w:szCs w:val="24"/>
          <w:highlight w:val="none"/>
          <w:lang w:val="en-US" w:eastAsia="zh-CN"/>
        </w:rPr>
        <w:t>的评审方法。</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eastAsia="zh-CN"/>
        </w:rPr>
      </w:pPr>
      <w:r>
        <w:rPr>
          <w:rFonts w:hint="eastAsia" w:ascii="Times New Roman" w:hAnsi="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供应商选择工作小组最通过符合性评审的响应单位的最终报价进行确认，经过谈判后有提供最后报价的，以最后报价为准。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如响应文件中报价有错误，供应商选择工作小组将对价格进行调整，调整原则如下：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按照本文件第一章4.3“非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确认评标价格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供应商选择工作小组认定通过符合性评审的、经过价格调整的响应单位的最终价格为评标价格，经过谈判后有提供最后报价的，以最后报价为评标价格。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b w:val="0"/>
          <w:bCs w:val="0"/>
          <w:sz w:val="24"/>
          <w:highlight w:val="none"/>
          <w:lang w:eastAsia="zh-CN"/>
        </w:rPr>
        <w:t>供应商选择工作小组根据评标价格，按价格由低到高推荐</w:t>
      </w:r>
      <w:r>
        <w:rPr>
          <w:rFonts w:hint="eastAsia" w:ascii="Times New Roman" w:hAnsi="Times New Roman"/>
          <w:b w:val="0"/>
          <w:bCs w:val="0"/>
          <w:sz w:val="24"/>
          <w:highlight w:val="none"/>
          <w:lang w:val="en-US" w:eastAsia="zh-CN"/>
        </w:rPr>
        <w:t>2-3名成交候选人，</w:t>
      </w:r>
      <w:r>
        <w:rPr>
          <w:rFonts w:hint="eastAsia" w:ascii="Times New Roman" w:hAnsi="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当出现2家以上的评标价格相同时，由供应商选择工作小组通过讨论确定排序。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当最终评审时仅有1家响应单位时，</w:t>
      </w:r>
      <w:r>
        <w:rPr>
          <w:rFonts w:hint="eastAsia"/>
          <w:sz w:val="24"/>
          <w:highlight w:val="none"/>
        </w:rPr>
        <w:t>如评标价格为最低价或</w:t>
      </w:r>
      <w:r>
        <w:rPr>
          <w:rFonts w:hint="eastAsia"/>
          <w:sz w:val="24"/>
          <w:highlight w:val="none"/>
          <w:lang w:eastAsia="zh-CN"/>
        </w:rPr>
        <w:t>非最低价但技术能力较优</w:t>
      </w:r>
      <w:r>
        <w:rPr>
          <w:rFonts w:hint="eastAsia" w:ascii="Times New Roman" w:hAnsi="Times New Roman"/>
          <w:b w:val="0"/>
          <w:bCs w:val="0"/>
          <w:sz w:val="24"/>
          <w:highlight w:val="none"/>
          <w:lang w:val="en-US" w:eastAsia="zh-CN"/>
        </w:rPr>
        <w:t>，则可推荐为成交候选人。其余情况，供应商选择工作小组应当认为本项目竞争性不足，不推荐成交候选人。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当供应商选择工作小组认为所有评标价格均较高时，可以不推荐成交候选人。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当最低评标价格低于其他有效响应单位的评标价格算术平均数的</w:t>
      </w:r>
      <w:r>
        <w:rPr>
          <w:rFonts w:hint="eastAsia" w:ascii="Times New Roman" w:hAnsi="Times New Roman"/>
          <w:b w:val="0"/>
          <w:bCs w:val="0"/>
          <w:sz w:val="24"/>
          <w:highlight w:val="none"/>
          <w:u w:val="single"/>
          <w:lang w:val="en-US" w:eastAsia="zh-CN"/>
        </w:rPr>
        <w:t>50</w:t>
      </w:r>
      <w:r>
        <w:rPr>
          <w:rFonts w:hint="eastAsia" w:ascii="Times New Roman" w:hAnsi="Times New Roman"/>
          <w:b w:val="0"/>
          <w:bCs w:val="0"/>
          <w:sz w:val="24"/>
          <w:highlight w:val="none"/>
          <w:u w:val="none"/>
          <w:lang w:val="en-US" w:eastAsia="zh-CN"/>
        </w:rPr>
        <w:t>%</w:t>
      </w:r>
      <w:r>
        <w:rPr>
          <w:rFonts w:hint="eastAsia" w:ascii="Times New Roman" w:hAnsi="Times New Roman"/>
          <w:b w:val="0"/>
          <w:bCs w:val="0"/>
          <w:sz w:val="24"/>
          <w:highlight w:val="none"/>
          <w:lang w:val="en-US" w:eastAsia="zh-CN"/>
        </w:rPr>
        <w:t>时，供应商选择工作小组应当要求该供应商作出书面说明并提供相关证明材料。该供应商不能合理说明或不能提供相关证明材料的，视作该响应报价无效。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b w:val="0"/>
          <w:bCs w:val="0"/>
          <w:sz w:val="24"/>
          <w:highlight w:val="none"/>
          <w:lang w:eastAsia="zh-CN"/>
        </w:rPr>
        <w:t>供应商选择工作小组根据成交候选人名单，确定排名第</w:t>
      </w:r>
      <w:r>
        <w:rPr>
          <w:rFonts w:hint="eastAsia" w:ascii="Times New Roman" w:hAnsi="Times New Roman"/>
          <w:b w:val="0"/>
          <w:bCs w:val="0"/>
          <w:sz w:val="24"/>
          <w:highlight w:val="none"/>
          <w:lang w:val="en-US" w:eastAsia="zh-CN"/>
        </w:rPr>
        <w:t>1的供应商为成交供应商。</w:t>
      </w:r>
    </w:p>
    <w:p>
      <w:pPr>
        <w:keepNext w:val="0"/>
        <w:keepLines w:val="0"/>
        <w:pageBreakBefore w:val="0"/>
        <w:kinsoku/>
        <w:overflowPunct/>
        <w:topLinePunct w:val="0"/>
        <w:bidi w:val="0"/>
        <w:spacing w:line="440" w:lineRule="exact"/>
        <w:ind w:firstLine="630" w:firstLineChars="300"/>
        <w:textAlignment w:val="auto"/>
        <w:outlineLvl w:val="9"/>
        <w:rPr>
          <w:rFonts w:ascii="宋体" w:hAnsi="宋体"/>
          <w:szCs w:val="21"/>
          <w:highlight w:val="none"/>
        </w:rPr>
      </w:pPr>
    </w:p>
    <w:p>
      <w:pPr>
        <w:keepNext w:val="0"/>
        <w:keepLines w:val="0"/>
        <w:pageBreakBefore w:val="0"/>
        <w:kinsoku/>
        <w:overflowPunct/>
        <w:topLinePunct w:val="0"/>
        <w:bidi w:val="0"/>
        <w:adjustRightInd w:val="0"/>
        <w:snapToGrid w:val="0"/>
        <w:spacing w:line="360" w:lineRule="auto"/>
        <w:jc w:val="center"/>
        <w:textAlignment w:val="auto"/>
        <w:outlineLvl w:val="9"/>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kern w:val="44"/>
          <w:szCs w:val="21"/>
          <w:highlight w:val="none"/>
        </w:rPr>
        <w:br w:type="page"/>
      </w:r>
      <w:bookmarkStart w:id="14" w:name="_Toc742_WPSOffice_Level1"/>
      <w:r>
        <w:rPr>
          <w:rFonts w:hint="eastAsia" w:ascii="方正小标宋简体" w:hAnsi="方正小标宋简体" w:eastAsia="方正小标宋简体" w:cs="方正小标宋简体"/>
          <w:b/>
          <w:bCs w:val="0"/>
          <w:color w:val="000000"/>
          <w:sz w:val="36"/>
          <w:szCs w:val="36"/>
          <w:highlight w:val="none"/>
          <w:lang w:eastAsia="zh-CN"/>
        </w:rPr>
        <w:t>第四</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商务要求</w:t>
      </w:r>
      <w:bookmarkEnd w:id="14"/>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本章使用的条款为带“</w:t>
      </w:r>
      <w:r>
        <w:rPr>
          <w:rFonts w:hint="eastAsia" w:ascii="宋体" w:hAnsi="宋体"/>
          <w:sz w:val="24"/>
          <w:highlight w:val="none"/>
          <w:u w:val="single"/>
          <w:lang w:eastAsia="zh-CN"/>
        </w:rPr>
        <w:t>☑</w:t>
      </w:r>
      <w:r>
        <w:rPr>
          <w:rFonts w:hint="eastAsia" w:ascii="黑体" w:hAnsi="黑体" w:eastAsia="黑体" w:cs="黑体"/>
          <w:b/>
          <w:bCs/>
          <w:sz w:val="28"/>
          <w:szCs w:val="36"/>
          <w:highlight w:val="none"/>
          <w:u w:val="single"/>
          <w:lang w:eastAsia="zh-CN"/>
        </w:rPr>
        <w:t>”的条款，响应单位应提供相应的证明文件。如提供的是打印件或复印件，需法定代表人或其授权代表签字或加盖公章。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营业执照</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应提供最新年检的企业法人营业执照、组织机构代码证、税务登记证及其他相应资质文件。（若三证合一，只需提供企业法人营业执照）</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注册资金</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5" w:leftChars="102" w:hanging="11"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响应单位注册资金不低于</w:t>
            </w:r>
            <w:r>
              <w:rPr>
                <w:rFonts w:hint="eastAsia" w:ascii="宋体" w:hAnsi="宋体"/>
                <w:b w:val="0"/>
                <w:bCs w:val="0"/>
                <w:sz w:val="24"/>
                <w:highlight w:val="none"/>
                <w:u w:val="single"/>
                <w:lang w:val="en-US" w:eastAsia="zh-CN"/>
              </w:rPr>
              <w:t xml:space="preserve"> </w:t>
            </w:r>
            <w:r>
              <w:rPr>
                <w:rFonts w:hint="eastAsia" w:ascii="宋体" w:hAnsi="宋体"/>
                <w:b w:val="0"/>
                <w:bCs w:val="0"/>
                <w:color w:val="auto"/>
                <w:sz w:val="24"/>
                <w:highlight w:val="none"/>
                <w:u w:val="single"/>
                <w:lang w:val="en-US" w:eastAsia="zh-CN"/>
              </w:rPr>
              <w:t>500</w:t>
            </w:r>
            <w:r>
              <w:rPr>
                <w:rFonts w:hint="eastAsia" w:ascii="宋体" w:hAnsi="宋体"/>
                <w:b w:val="0"/>
                <w:bCs w:val="0"/>
                <w:sz w:val="24"/>
                <w:highlight w:val="none"/>
                <w:u w:val="single"/>
                <w:lang w:val="en-US" w:eastAsia="zh-CN"/>
              </w:rPr>
              <w:t xml:space="preserve"> </w:t>
            </w:r>
            <w:r>
              <w:rPr>
                <w:rFonts w:hint="eastAsia" w:ascii="宋体" w:hAnsi="宋体"/>
                <w:b w:val="0"/>
                <w:bCs w:val="0"/>
                <w:sz w:val="24"/>
                <w:highlight w:val="none"/>
                <w:u w:val="none"/>
                <w:lang w:val="en-US" w:eastAsia="zh-CN"/>
              </w:rPr>
              <w:t>万元，营业执照无法体现的，需提供额外证明材料或承诺函。</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427" w:leftChars="103" w:hanging="211" w:hangingChars="88"/>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财务状况</w:t>
            </w:r>
          </w:p>
        </w:tc>
        <w:tc>
          <w:tcPr>
            <w:tcW w:w="6604" w:type="dxa"/>
            <w:vAlign w:val="center"/>
          </w:tcPr>
          <w:p>
            <w:pPr>
              <w:spacing w:beforeLines="0" w:afterLines="0"/>
              <w:ind w:firstLine="240" w:firstLineChars="100"/>
              <w:jc w:val="left"/>
              <w:rPr>
                <w:rFonts w:hint="eastAsia" w:ascii="宋体" w:hAnsi="宋体" w:eastAsia="宋体"/>
                <w:sz w:val="24"/>
              </w:rPr>
            </w:pPr>
            <w:r>
              <w:rPr>
                <w:rFonts w:hint="eastAsia" w:ascii="SegoeUISymbol" w:hAnsi="SegoeUISymbol" w:eastAsia="SegoeUISymbol"/>
                <w:sz w:val="24"/>
                <w:lang w:eastAsia="zh-CN"/>
              </w:rPr>
              <w:t>☑</w:t>
            </w:r>
            <w:r>
              <w:rPr>
                <w:rFonts w:hint="eastAsia" w:ascii="宋体" w:hAnsi="宋体" w:eastAsia="宋体"/>
                <w:sz w:val="24"/>
              </w:rPr>
              <w:t>提供近3 年（202</w:t>
            </w:r>
            <w:r>
              <w:rPr>
                <w:rFonts w:hint="eastAsia" w:ascii="宋体" w:hAnsi="宋体" w:eastAsia="宋体"/>
                <w:sz w:val="24"/>
                <w:lang w:val="en-US" w:eastAsia="zh-CN"/>
              </w:rPr>
              <w:t>2</w:t>
            </w:r>
            <w:r>
              <w:rPr>
                <w:rFonts w:hint="eastAsia" w:ascii="宋体" w:hAnsi="宋体" w:eastAsia="宋体"/>
                <w:sz w:val="24"/>
              </w:rPr>
              <w:t>年</w:t>
            </w:r>
            <w:r>
              <w:rPr>
                <w:rFonts w:hint="eastAsia" w:ascii="TimesNewRomanPSMT" w:hAnsi="TimesNewRomanPSMT" w:eastAsia="TimesNewRomanPSMT"/>
                <w:sz w:val="24"/>
              </w:rPr>
              <w:t xml:space="preserve">~ </w:t>
            </w:r>
            <w:r>
              <w:rPr>
                <w:rFonts w:hint="eastAsia" w:ascii="宋体" w:hAnsi="宋体" w:eastAsia="宋体"/>
                <w:sz w:val="24"/>
              </w:rPr>
              <w:t>202</w:t>
            </w:r>
            <w:r>
              <w:rPr>
                <w:rFonts w:hint="eastAsia" w:ascii="宋体" w:hAnsi="宋体" w:eastAsia="宋体"/>
                <w:sz w:val="24"/>
                <w:lang w:val="en-US" w:eastAsia="zh-CN"/>
              </w:rPr>
              <w:t>4</w:t>
            </w:r>
            <w:r>
              <w:rPr>
                <w:rFonts w:hint="eastAsia" w:ascii="宋体" w:hAnsi="宋体" w:eastAsia="宋体"/>
                <w:sz w:val="24"/>
              </w:rPr>
              <w:t>年）的财务报表，包括资产</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eastAsia="宋体"/>
                <w:sz w:val="24"/>
              </w:rPr>
            </w:pPr>
            <w:r>
              <w:rPr>
                <w:rFonts w:hint="eastAsia" w:ascii="宋体" w:hAnsi="宋体" w:eastAsia="宋体"/>
                <w:sz w:val="24"/>
              </w:rPr>
              <w:t>负债表、利润表及现金流量表。</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eastAsia="宋体"/>
                <w:sz w:val="24"/>
                <w:highlight w:val="none"/>
                <w:vertAlign w:val="baseline"/>
                <w:lang w:eastAsia="zh-CN"/>
              </w:rPr>
              <w:t>业绩要求</w:t>
            </w:r>
          </w:p>
        </w:tc>
        <w:tc>
          <w:tcPr>
            <w:tcW w:w="6604" w:type="dxa"/>
            <w:vAlign w:val="center"/>
          </w:tcPr>
          <w:p>
            <w:pPr>
              <w:spacing w:beforeLines="0" w:afterLines="0"/>
              <w:jc w:val="left"/>
              <w:rPr>
                <w:rFonts w:hint="eastAsia" w:ascii="宋体" w:hAnsi="宋体" w:eastAsia="宋体"/>
                <w:sz w:val="24"/>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近</w:t>
            </w:r>
            <w:r>
              <w:rPr>
                <w:rFonts w:hint="eastAsia" w:ascii="宋体" w:hAnsi="宋体"/>
                <w:sz w:val="24"/>
                <w:highlight w:val="none"/>
                <w:u w:val="single"/>
                <w:lang w:val="en-US" w:eastAsia="zh-CN"/>
              </w:rPr>
              <w:t xml:space="preserve"> 3 </w:t>
            </w:r>
            <w:r>
              <w:rPr>
                <w:rFonts w:ascii="Times New Roman" w:hAnsi="Times New Roman"/>
                <w:sz w:val="24"/>
                <w:highlight w:val="none"/>
              </w:rPr>
              <w:t>年（</w:t>
            </w:r>
            <w:r>
              <w:rPr>
                <w:rFonts w:hint="eastAsia" w:ascii="宋体" w:hAnsi="宋体"/>
                <w:sz w:val="24"/>
                <w:highlight w:val="none"/>
                <w:u w:val="single"/>
                <w:lang w:val="en-US" w:eastAsia="zh-CN"/>
              </w:rPr>
              <w:t xml:space="preserve">2022 </w:t>
            </w:r>
            <w:r>
              <w:rPr>
                <w:rFonts w:ascii="Times New Roman" w:hAnsi="Times New Roman"/>
                <w:sz w:val="24"/>
                <w:highlight w:val="none"/>
              </w:rPr>
              <w:t>年~</w:t>
            </w:r>
            <w:r>
              <w:rPr>
                <w:rFonts w:hint="eastAsia" w:ascii="宋体" w:hAnsi="宋体"/>
                <w:sz w:val="24"/>
                <w:highlight w:val="none"/>
                <w:u w:val="single"/>
                <w:lang w:val="en-US" w:eastAsia="zh-CN"/>
              </w:rPr>
              <w:t xml:space="preserve"> 至今</w:t>
            </w:r>
            <w:r>
              <w:rPr>
                <w:rFonts w:ascii="Times New Roman" w:hAnsi="Times New Roman"/>
                <w:sz w:val="24"/>
                <w:highlight w:val="none"/>
              </w:rPr>
              <w:t>）应有</w:t>
            </w:r>
            <w:r>
              <w:rPr>
                <w:rFonts w:hint="eastAsia" w:ascii="Times New Roman" w:hAnsi="Times New Roman"/>
                <w:sz w:val="24"/>
                <w:highlight w:val="none"/>
                <w:lang w:eastAsia="zh-CN"/>
              </w:rPr>
              <w:t>不低于</w:t>
            </w:r>
            <w:r>
              <w:rPr>
                <w:rFonts w:hint="eastAsia" w:ascii="宋体" w:hAnsi="宋体"/>
                <w:sz w:val="24"/>
                <w:highlight w:val="none"/>
                <w:u w:val="single"/>
                <w:lang w:val="en-US" w:eastAsia="zh-CN"/>
              </w:rPr>
              <w:t xml:space="preserve"> 3 </w:t>
            </w:r>
            <w:r>
              <w:rPr>
                <w:rFonts w:hint="eastAsia" w:ascii="宋体" w:hAnsi="宋体" w:eastAsia="宋体"/>
                <w:sz w:val="24"/>
                <w:highlight w:val="none"/>
              </w:rPr>
              <w:t>份</w:t>
            </w:r>
            <w:r>
              <w:rPr>
                <w:rFonts w:hint="eastAsia" w:ascii="宋体" w:hAnsi="宋体" w:eastAsia="宋体"/>
                <w:sz w:val="24"/>
              </w:rPr>
              <w:t>与本次采购服务相同或类似的业绩，提供相关业绩文件复印件作为证明材料（相关业绩文件复印件须能认定签署日期、服务内容、签订方，否则将作为无效证明材料）。</w:t>
            </w:r>
          </w:p>
          <w:p>
            <w:pPr>
              <w:spacing w:beforeLines="0" w:afterLines="0"/>
              <w:jc w:val="left"/>
              <w:rPr>
                <w:rFonts w:hint="eastAsia" w:ascii="宋体" w:hAnsi="宋体"/>
                <w:sz w:val="24"/>
                <w:highlight w:val="none"/>
                <w:vertAlign w:val="baseli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*5</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付款条款</w:t>
            </w:r>
          </w:p>
        </w:tc>
        <w:tc>
          <w:tcPr>
            <w:tcW w:w="6604" w:type="dxa"/>
            <w:vAlign w:val="center"/>
          </w:tcPr>
          <w:p>
            <w:pPr>
              <w:pStyle w:val="10"/>
              <w:numPr>
                <w:ilvl w:val="0"/>
                <w:numId w:val="0"/>
              </w:numPr>
              <w:spacing w:after="0"/>
              <w:ind w:left="216" w:leftChars="103" w:firstLine="2" w:firstLineChars="0"/>
              <w:jc w:val="both"/>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按以下模式一次性付款：</w:t>
            </w:r>
          </w:p>
          <w:p>
            <w:pPr>
              <w:pStyle w:val="10"/>
              <w:numPr>
                <w:ilvl w:val="0"/>
                <w:numId w:val="0"/>
              </w:numPr>
              <w:spacing w:after="0"/>
              <w:ind w:left="420" w:leftChars="0" w:firstLine="480" w:firstLineChars="200"/>
              <w:jc w:val="both"/>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验收合格并收到成交单位按客服公司要求开具的真实合法有效的发票后一次性支付全部款项。</w:t>
            </w:r>
          </w:p>
          <w:p>
            <w:pPr>
              <w:pStyle w:val="10"/>
              <w:spacing w:after="0"/>
              <w:ind w:left="647" w:leftChars="104" w:hanging="429" w:hangingChars="178"/>
              <w:jc w:val="left"/>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按以下模式分期付款（适用于非一次性付款的工装类货物）</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元，成交单位应于工装完成预验收并收到客服公司提供的设备预验收报告后向客服公司开具累计至第二期付款金额的真实合法有效的发票，客服公司在收到发票之日起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日内支付。[注：第二期付款是预验收款，如无需预验收则可视情况删除]</w:t>
            </w:r>
          </w:p>
          <w:p>
            <w:pPr>
              <w:pStyle w:val="10"/>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2"/>
              </w:numPr>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元，客服公司于工装质保期期满之日起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eastAsia" w:ascii="宋体" w:hAnsi="宋体"/>
                <w:b w:val="0"/>
                <w:bCs w:val="0"/>
                <w:kern w:val="2"/>
                <w:sz w:val="24"/>
                <w:szCs w:val="24"/>
                <w:highlight w:val="none"/>
                <w:lang w:val="en-US" w:eastAsia="zh-CN" w:bidi="ar-SA"/>
              </w:rPr>
            </w:pPr>
            <w:r>
              <w:rPr>
                <w:rFonts w:hint="eastAsia" w:ascii="宋体" w:hAnsi="宋体"/>
                <w:b/>
                <w:bCs/>
                <w:sz w:val="24"/>
                <w:highlight w:val="none"/>
              </w:rPr>
              <w:t>□</w:t>
            </w:r>
            <w:r>
              <w:rPr>
                <w:rFonts w:hint="eastAsia" w:ascii="宋体" w:hAnsi="宋体"/>
                <w:b/>
                <w:bCs/>
                <w:sz w:val="24"/>
                <w:highlight w:val="none"/>
                <w:lang w:val="en-US" w:eastAsia="zh-CN"/>
              </w:rPr>
              <w:t xml:space="preserve"> </w:t>
            </w:r>
            <w:r>
              <w:rPr>
                <w:rFonts w:hint="eastAsia" w:ascii="宋体" w:hAnsi="宋体"/>
                <w:b/>
                <w:bCs/>
                <w:kern w:val="2"/>
                <w:sz w:val="24"/>
                <w:szCs w:val="24"/>
                <w:highlight w:val="none"/>
                <w:lang w:val="en-US" w:eastAsia="zh-CN" w:bidi="ar-SA"/>
              </w:rPr>
              <w:t>按以下模式分期付款（适用于非一次性付款的设备类货物）</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第一期付款：预付款人民币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元，成交单位应于设备完成预验收并收到甲方提供的设备预验收报告后向客服公司开具累计至第二期付款金额的发票，客服公司在收到发票之日起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日内按客服公司要求开具合同剩余金额的发票,客服公司收到发票之日起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10"/>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元，客服公司于设备质保期期满之日起    日内支付。</w:t>
            </w:r>
          </w:p>
          <w:p>
            <w:pPr>
              <w:pStyle w:val="10"/>
              <w:numPr>
                <w:ilvl w:val="0"/>
                <w:numId w:val="0"/>
              </w:numPr>
              <w:spacing w:after="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 ☑ 客服公司向成交单位支付的费用应每六个月一结，客服公司应在每满六个月后收到成交单位对应金额的增值税专用发票并验收合格后30 个工作日内完成付款。</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 xml:space="preserve">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p>
        </w:tc>
        <w:tc>
          <w:tcPr>
            <w:tcW w:w="6604" w:type="dxa"/>
            <w:vAlign w:val="center"/>
          </w:tcPr>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lang w:val="en-US" w:eastAsia="zh-CN"/>
              </w:rPr>
            </w:pPr>
            <w:r>
              <w:rPr>
                <w:rFonts w:hint="eastAsia" w:ascii="宋体" w:hAnsi="宋体"/>
                <w:b/>
                <w:bCs/>
                <w:sz w:val="24"/>
                <w:highlight w:val="none"/>
                <w:lang w:val="en-US" w:eastAsia="zh-CN"/>
              </w:rPr>
              <w:t>上述合同付款条款，</w:t>
            </w:r>
            <w:r>
              <w:rPr>
                <w:rFonts w:hint="eastAsia" w:ascii="宋体" w:hAnsi="宋体"/>
                <w:b/>
                <w:bCs/>
                <w:kern w:val="2"/>
                <w:sz w:val="24"/>
                <w:szCs w:val="24"/>
                <w:highlight w:val="none"/>
                <w:lang w:val="en-US" w:eastAsia="zh-CN" w:bidi="ar-SA"/>
              </w:rPr>
              <w:t>根据客服公司选择，具体开票要求如下</w:t>
            </w:r>
            <w:r>
              <w:rPr>
                <w:rFonts w:hint="eastAsia" w:ascii="宋体" w:hAnsi="宋体"/>
                <w:b/>
                <w:bCs/>
                <w:sz w:val="24"/>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供应商按含税价开具真实合法有效的增值税专用发票；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供应商按不含税价开具符合要求的形式发票或增值税普通发票；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定作方要求的其他发票形式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sz w:val="24"/>
                <w:highlight w:val="none"/>
                <w:vertAlign w:val="baseline"/>
                <w:lang w:val="en-US" w:eastAsia="zh-CN"/>
              </w:rPr>
              <w:t>6</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w:t>
            </w:r>
          </w:p>
        </w:tc>
        <w:tc>
          <w:tcPr>
            <w:tcW w:w="6604"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本项目报价应包括以下内容：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firstLine="480" w:firstLineChars="200"/>
              <w:jc w:val="left"/>
              <w:textAlignment w:val="auto"/>
              <w:outlineLvl w:val="9"/>
              <w:rPr>
                <w:rFonts w:hint="eastAsia" w:ascii="宋体" w:hAnsi="宋体"/>
                <w:sz w:val="24"/>
                <w:highlight w:val="none"/>
              </w:rPr>
            </w:pPr>
            <w:r>
              <w:rPr>
                <w:rFonts w:hint="eastAsia" w:ascii="Times New Roman" w:hAnsi="Times New Roman"/>
                <w:sz w:val="24"/>
                <w:highlight w:val="none"/>
                <w:lang w:val="en-US" w:eastAsia="zh-CN"/>
              </w:rPr>
              <w:t>__</w:t>
            </w:r>
            <w:r>
              <w:rPr>
                <w:rFonts w:hint="eastAsia" w:ascii="Times New Roman" w:hAnsi="Times New Roman"/>
                <w:sz w:val="24"/>
                <w:highlight w:val="none"/>
                <w:u w:val="single"/>
                <w:lang w:val="en-US" w:eastAsia="zh-CN"/>
              </w:rPr>
              <w:t>完成本项目的所有所需费用</w:t>
            </w:r>
            <w:r>
              <w:rPr>
                <w:rFonts w:hint="eastAsia" w:ascii="Times New Roman" w:hAnsi="Times New Roman"/>
                <w:sz w:val="24"/>
                <w:highlight w:val="none"/>
                <w:lang w:val="en-US" w:eastAsia="zh-CN"/>
              </w:rPr>
              <w:t>___________________</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hint="eastAsia" w:ascii="宋体" w:hAnsi="宋体"/>
                <w:sz w:val="24"/>
                <w:highlight w:val="none"/>
                <w:lang w:eastAsia="zh-CN"/>
              </w:rPr>
              <w:t>响应单位</w:t>
            </w:r>
            <w:r>
              <w:rPr>
                <w:rFonts w:hint="eastAsia" w:ascii="宋体" w:hAnsi="宋体"/>
                <w:sz w:val="24"/>
                <w:highlight w:val="none"/>
              </w:rPr>
              <w:t>须在</w:t>
            </w:r>
            <w:r>
              <w:rPr>
                <w:rFonts w:hint="eastAsia" w:ascii="宋体" w:hAnsi="宋体"/>
                <w:sz w:val="24"/>
                <w:highlight w:val="none"/>
                <w:lang w:eastAsia="zh-CN"/>
              </w:rPr>
              <w:t>分项报价表</w:t>
            </w:r>
            <w:r>
              <w:rPr>
                <w:rFonts w:hint="eastAsia" w:ascii="宋体" w:hAnsi="宋体"/>
                <w:sz w:val="24"/>
                <w:highlight w:val="none"/>
              </w:rPr>
              <w:t>（见附件）中分别报出以上各部分价格。</w:t>
            </w:r>
            <w:r>
              <w:rPr>
                <w:rFonts w:hint="eastAsia" w:ascii="宋体" w:hAnsi="宋体"/>
                <w:sz w:val="24"/>
                <w:highlight w:val="none"/>
                <w:lang w:eastAsia="zh-CN"/>
              </w:rPr>
              <w:t>响应单位</w:t>
            </w:r>
            <w:r>
              <w:rPr>
                <w:rFonts w:hint="eastAsia" w:ascii="宋体" w:hAnsi="宋体"/>
                <w:sz w:val="24"/>
                <w:highlight w:val="none"/>
              </w:rPr>
              <w:t>根据报价需要可对“分项报价表”进行扩展。</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报价应是本项目范围内全部工作内容的价格体现，应包含所涉及的一切相关费用，若有遗漏，</w:t>
            </w:r>
            <w:r>
              <w:rPr>
                <w:rFonts w:hint="eastAsia" w:ascii="Times New Roman" w:hAnsi="Times New Roman"/>
                <w:sz w:val="24"/>
                <w:highlight w:val="none"/>
                <w:lang w:eastAsia="zh-CN"/>
              </w:rPr>
              <w:t>客服</w:t>
            </w:r>
            <w:r>
              <w:rPr>
                <w:rFonts w:ascii="Times New Roman" w:hAnsi="Times New Roman"/>
                <w:sz w:val="24"/>
                <w:highlight w:val="none"/>
              </w:rPr>
              <w:t>公司视作</w:t>
            </w:r>
            <w:r>
              <w:rPr>
                <w:rFonts w:hint="eastAsia" w:ascii="Times New Roman" w:hAnsi="Times New Roman"/>
                <w:sz w:val="24"/>
                <w:highlight w:val="none"/>
                <w:lang w:eastAsia="zh-CN"/>
              </w:rPr>
              <w:t>响应单位</w:t>
            </w:r>
            <w:r>
              <w:rPr>
                <w:rFonts w:ascii="Times New Roman" w:hAnsi="Times New Roman"/>
                <w:sz w:val="24"/>
                <w:highlight w:val="none"/>
              </w:rPr>
              <w:t>已考虑让利，费用不予增加。</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提交的报价不应有选择性报价或具有附加条件的报价</w:t>
            </w:r>
            <w:r>
              <w:rPr>
                <w:rFonts w:hint="eastAsia" w:ascii="Times New Roman" w:hAnsi="Times New Roman"/>
                <w:sz w:val="24"/>
                <w:highlight w:val="none"/>
                <w:lang w:eastAsia="zh-CN"/>
              </w:rPr>
              <w:t>，</w:t>
            </w:r>
            <w:r>
              <w:rPr>
                <w:rFonts w:ascii="Times New Roman" w:hAnsi="Times New Roman"/>
                <w:sz w:val="24"/>
                <w:highlight w:val="none"/>
              </w:rPr>
              <w:t>如出现以下情况（包括但不限于以下几种），则</w:t>
            </w:r>
            <w:r>
              <w:rPr>
                <w:rFonts w:hint="eastAsia" w:ascii="Times New Roman" w:hAnsi="Times New Roman"/>
                <w:sz w:val="24"/>
                <w:highlight w:val="none"/>
                <w:lang w:eastAsia="zh-CN"/>
              </w:rPr>
              <w:t>响应文件</w:t>
            </w:r>
            <w:r>
              <w:rPr>
                <w:rFonts w:ascii="Times New Roman" w:hAnsi="Times New Roman"/>
                <w:sz w:val="24"/>
                <w:highlight w:val="none"/>
              </w:rPr>
              <w:t>将被否决：</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ascii="Times New Roman" w:hAnsi="Times New Roman"/>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）若中标，则将在报价基础上降价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）若中标某几个项目，则这几个项目将在报价基础上降价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*7</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其他商务要求</w:t>
            </w:r>
          </w:p>
        </w:tc>
        <w:tc>
          <w:tcPr>
            <w:tcW w:w="660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在签署本项目合同及履行本项目义务时无任何法律障碍和</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rPr>
            </w:pPr>
            <w:r>
              <w:rPr>
                <w:rFonts w:hint="eastAsia" w:ascii="宋体" w:hAnsi="宋体" w:eastAsia="宋体"/>
                <w:sz w:val="24"/>
              </w:rPr>
              <w:t>重大事件影响供应商继续正常存续和全面履行本项目合同的</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lang w:eastAsia="zh-CN"/>
              </w:rPr>
            </w:pPr>
            <w:r>
              <w:rPr>
                <w:rFonts w:hint="eastAsia" w:ascii="宋体" w:hAnsi="宋体" w:eastAsia="宋体"/>
                <w:sz w:val="24"/>
              </w:rPr>
              <w:t>能力，未被列入全国失信被执行人名单</w:t>
            </w:r>
            <w:r>
              <w:rPr>
                <w:rFonts w:hint="eastAsia" w:ascii="宋体" w:hAnsi="宋体" w:eastAsia="宋体"/>
                <w:sz w:val="24"/>
                <w:lang w:eastAsia="zh-CN"/>
              </w:rPr>
              <w:t>；</w:t>
            </w:r>
          </w:p>
          <w:p>
            <w:pPr>
              <w:spacing w:beforeLines="0" w:afterLines="0" w:line="400" w:lineRule="exact"/>
              <w:jc w:val="left"/>
              <w:rPr>
                <w:rFonts w:hint="default" w:eastAsia="宋体"/>
                <w:lang w:val="en-US" w:eastAsia="zh-CN"/>
              </w:rPr>
            </w:pPr>
            <w:r>
              <w:rPr>
                <w:rFonts w:hint="eastAsia" w:ascii="宋体" w:hAnsi="宋体" w:eastAsia="宋体"/>
                <w:sz w:val="24"/>
                <w:lang w:val="en-US" w:eastAsia="zh-CN"/>
              </w:rPr>
              <w:t>2.具备中小型项目集成能力，能够对堆垛机PLC程序，上位管理系统WCS、库存管理系统WMS联合维护技术要求</w:t>
            </w:r>
            <w:r>
              <w:rPr>
                <w:rFonts w:hint="eastAsia" w:ascii="宋体" w:hAnsi="宋体"/>
                <w:sz w:val="24"/>
                <w:lang w:val="en-US" w:eastAsia="zh-CN"/>
              </w:rPr>
              <w:t>，</w:t>
            </w:r>
            <w:r>
              <w:rPr>
                <w:rFonts w:hint="eastAsia" w:ascii="宋体" w:hAnsi="宋体" w:eastAsia="宋体"/>
                <w:sz w:val="24"/>
                <w:lang w:val="en-US" w:eastAsia="zh-CN"/>
              </w:rPr>
              <w:t>具备WINCC开发上位机能力，能够根据系统运维情况对现有WCS系统进行升级改造水平</w:t>
            </w:r>
            <w:r>
              <w:rPr>
                <w:rFonts w:hint="eastAsia" w:ascii="宋体" w:hAnsi="宋体"/>
                <w:sz w:val="24"/>
                <w:lang w:val="en-US" w:eastAsia="zh-CN"/>
              </w:rPr>
              <w:t>，并提供相关软件著作权证书。</w:t>
            </w:r>
          </w:p>
        </w:tc>
      </w:tr>
    </w:tbl>
    <w:p>
      <w:pPr>
        <w:keepNext w:val="0"/>
        <w:keepLines w:val="0"/>
        <w:pageBreakBefore w:val="0"/>
        <w:kinsoku/>
        <w:overflowPunct/>
        <w:topLinePunct w:val="0"/>
        <w:bidi w:val="0"/>
        <w:textAlignment w:val="auto"/>
        <w:outlineLvl w:val="9"/>
        <w:rPr>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End w:id="10"/>
      <w:bookmarkStart w:id="15" w:name="_Toc28157_WPSOffice_Level1"/>
      <w:r>
        <w:rPr>
          <w:rFonts w:hint="eastAsia" w:ascii="方正小标宋简体" w:hAnsi="方正小标宋简体" w:eastAsia="方正小标宋简体" w:cs="方正小标宋简体"/>
          <w:b/>
          <w:bCs w:val="0"/>
          <w:color w:val="000000"/>
          <w:sz w:val="36"/>
          <w:szCs w:val="36"/>
          <w:highlight w:val="none"/>
          <w:lang w:eastAsia="zh-CN"/>
        </w:rPr>
        <w:t>第五</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服务要求</w:t>
      </w:r>
      <w:bookmarkEnd w:id="15"/>
    </w:p>
    <w:p>
      <w:pPr>
        <w:keepNext w:val="0"/>
        <w:keepLines w:val="0"/>
        <w:pageBreakBefore w:val="0"/>
        <w:widowControl/>
        <w:kinsoku/>
        <w:overflowPunct/>
        <w:topLinePunct w:val="0"/>
        <w:bidi w:val="0"/>
        <w:ind w:firstLine="602" w:firstLineChars="200"/>
        <w:jc w:val="center"/>
        <w:textAlignment w:val="auto"/>
        <w:outlineLvl w:val="9"/>
        <w:rPr>
          <w:rFonts w:ascii="宋体" w:hAnsi="宋体"/>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keepNext w:val="0"/>
        <w:keepLines w:val="0"/>
        <w:pageBreakBefore w:val="0"/>
        <w:kinsoku/>
        <w:overflowPunct/>
        <w:topLinePunct w:val="0"/>
        <w:bidi w:val="0"/>
        <w:textAlignment w:val="auto"/>
        <w:outlineLvl w:val="9"/>
        <w:rPr>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宋体" w:hAnsi="宋体"/>
          <w:szCs w:val="21"/>
          <w:highlight w:val="none"/>
        </w:rPr>
      </w:pPr>
    </w:p>
    <w:p>
      <w:pPr>
        <w:pStyle w:val="11"/>
        <w:spacing w:line="360" w:lineRule="auto"/>
        <w:ind w:firstLine="480" w:firstLineChars="200"/>
        <w:rPr>
          <w:rFonts w:hint="eastAsia"/>
          <w:b w:val="0"/>
          <w:bCs w:val="0"/>
          <w:u w:val="none"/>
          <w:lang w:val="en-US" w:eastAsia="zh-CN"/>
        </w:rPr>
      </w:pPr>
      <w:r>
        <w:rPr>
          <w:rFonts w:hint="eastAsia" w:ascii="宋体" w:hAnsi="宋体" w:eastAsia="宋体" w:cs="宋体"/>
          <w:b w:val="0"/>
          <w:bCs w:val="0"/>
          <w:sz w:val="24"/>
          <w:szCs w:val="24"/>
          <w:highlight w:val="none"/>
          <w:u w:val="none"/>
          <w:lang w:eastAsia="zh-CN"/>
        </w:rPr>
        <w:t>*</w:t>
      </w:r>
      <w:r>
        <w:rPr>
          <w:rFonts w:hint="eastAsia"/>
          <w:b w:val="0"/>
          <w:bCs w:val="0"/>
          <w:u w:val="none"/>
          <w:lang w:val="en-US" w:eastAsia="zh-CN"/>
        </w:rPr>
        <w:t>1、服务要求</w:t>
      </w:r>
    </w:p>
    <w:p>
      <w:pPr>
        <w:pStyle w:val="11"/>
        <w:spacing w:line="360" w:lineRule="auto"/>
        <w:ind w:firstLine="480" w:firstLineChars="200"/>
        <w:rPr>
          <w:rFonts w:hint="default"/>
          <w:lang w:val="en-US" w:eastAsia="zh-CN"/>
        </w:rPr>
      </w:pPr>
      <w:r>
        <w:rPr>
          <w:rFonts w:hint="eastAsia"/>
          <w:lang w:val="en-US" w:eastAsia="zh-CN"/>
        </w:rPr>
        <w:t>1.1</w:t>
      </w:r>
      <w:r>
        <w:rPr>
          <w:rFonts w:hint="default"/>
          <w:lang w:val="en-US" w:eastAsia="zh-CN"/>
        </w:rPr>
        <w:t>围绕</w:t>
      </w:r>
      <w:r>
        <w:rPr>
          <w:rFonts w:hint="eastAsia"/>
          <w:lang w:val="en-US" w:eastAsia="zh-CN"/>
        </w:rPr>
        <w:t>附件八《技术文件》要求，供应商须根据附件明细及周期对WMS、WCS（含PLC）及相关软硬件系统进行运维工作</w:t>
      </w:r>
      <w:r>
        <w:rPr>
          <w:rFonts w:hint="default"/>
          <w:lang w:val="en-US" w:eastAsia="zh-CN"/>
        </w:rPr>
        <w:t>。</w:t>
      </w:r>
    </w:p>
    <w:p>
      <w:pPr>
        <w:pStyle w:val="11"/>
        <w:spacing w:line="360" w:lineRule="auto"/>
        <w:ind w:firstLine="480" w:firstLineChars="200"/>
      </w:pPr>
      <w:r>
        <w:rPr>
          <w:rFonts w:hint="eastAsia"/>
          <w:b w:val="0"/>
          <w:kern w:val="2"/>
          <w:sz w:val="24"/>
          <w:szCs w:val="24"/>
          <w:highlight w:val="none"/>
          <w:lang w:val="en-US" w:eastAsia="zh-CN" w:bidi="ar-SA"/>
        </w:rPr>
        <w:t>1.2</w:t>
      </w:r>
      <w:r>
        <w:rPr>
          <w:rFonts w:hint="eastAsia" w:ascii="宋体" w:hAnsi="宋体"/>
          <w:b w:val="0"/>
          <w:kern w:val="2"/>
          <w:sz w:val="24"/>
          <w:szCs w:val="24"/>
          <w:highlight w:val="none"/>
          <w:lang w:val="en-US" w:eastAsia="zh-CN" w:bidi="ar-SA"/>
        </w:rPr>
        <w:t>故障处理：7×24小时技术支持，重大故障</w:t>
      </w:r>
      <w:r>
        <w:rPr>
          <w:rFonts w:hint="eastAsia"/>
          <w:b w:val="0"/>
          <w:kern w:val="2"/>
          <w:sz w:val="24"/>
          <w:szCs w:val="24"/>
          <w:highlight w:val="none"/>
          <w:lang w:val="en-US" w:eastAsia="zh-CN" w:bidi="ar-SA"/>
        </w:rPr>
        <w:t>5</w:t>
      </w:r>
      <w:r>
        <w:rPr>
          <w:rFonts w:hint="eastAsia" w:ascii="宋体" w:hAnsi="宋体"/>
          <w:b w:val="0"/>
          <w:kern w:val="2"/>
          <w:sz w:val="24"/>
          <w:szCs w:val="24"/>
          <w:highlight w:val="none"/>
          <w:lang w:val="en-US" w:eastAsia="zh-CN" w:bidi="ar-SA"/>
        </w:rPr>
        <w:t>小时内</w:t>
      </w:r>
      <w:r>
        <w:rPr>
          <w:rFonts w:hint="eastAsia"/>
          <w:b w:val="0"/>
          <w:kern w:val="2"/>
          <w:sz w:val="24"/>
          <w:szCs w:val="24"/>
          <w:highlight w:val="none"/>
          <w:lang w:val="en-US" w:eastAsia="zh-CN" w:bidi="ar-SA"/>
        </w:rPr>
        <w:t>到达现场，24小时内排除故障。</w:t>
      </w:r>
    </w:p>
    <w:p>
      <w:pPr>
        <w:pStyle w:val="11"/>
        <w:spacing w:line="360" w:lineRule="auto"/>
        <w:ind w:firstLine="480" w:firstLineChars="200"/>
        <w:rPr>
          <w:rFonts w:hint="default"/>
          <w:lang w:val="en-US" w:eastAsia="zh-CN"/>
        </w:rPr>
      </w:pPr>
      <w:r>
        <w:rPr>
          <w:rFonts w:hint="eastAsia"/>
          <w:lang w:val="en-US" w:eastAsia="zh-CN"/>
        </w:rPr>
        <w:t>1.3</w:t>
      </w:r>
      <w:r>
        <w:rPr>
          <w:rFonts w:hint="eastAsia" w:ascii="宋体" w:hAnsi="宋体"/>
          <w:b w:val="0"/>
          <w:kern w:val="2"/>
          <w:sz w:val="24"/>
          <w:szCs w:val="24"/>
          <w:highlight w:val="none"/>
          <w:lang w:val="en-US" w:eastAsia="zh-CN" w:bidi="ar-SA"/>
        </w:rPr>
        <w:t>提供操作人员及维护人员技术培训。</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80" w:firstLineChars="200"/>
        <w:jc w:val="both"/>
        <w:textAlignment w:val="auto"/>
        <w:outlineLvl w:val="0"/>
        <w:rPr>
          <w:rFonts w:hint="eastAsia"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2、合同签订之日起五个工作日内进行首次运维服务并以书面形式进行验收，每月1次（按附件九《运维验收单》为模板），验收合格后由双方验收人员进行签字一式两份，双方各执一份。</w:t>
      </w:r>
    </w:p>
    <w:p>
      <w:pPr>
        <w:pStyle w:val="11"/>
        <w:spacing w:line="360" w:lineRule="auto"/>
        <w:ind w:firstLine="480" w:firstLineChars="200"/>
        <w:rPr>
          <w:rFonts w:hint="default"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w:t>
      </w:r>
      <w:r>
        <w:rPr>
          <w:rFonts w:hint="eastAsia" w:eastAsia="宋体" w:cs="Times New Roman"/>
          <w:color w:val="auto"/>
          <w:kern w:val="2"/>
          <w:sz w:val="24"/>
          <w:szCs w:val="24"/>
          <w:highlight w:val="none"/>
          <w:lang w:val="en-US" w:eastAsia="zh-CN" w:bidi="ar-SA"/>
        </w:rPr>
        <w:t>、附件十《案例</w:t>
      </w:r>
      <w:r>
        <w:rPr>
          <w:rFonts w:hint="eastAsia" w:cs="Times New Roman"/>
          <w:color w:val="auto"/>
          <w:kern w:val="2"/>
          <w:sz w:val="24"/>
          <w:szCs w:val="24"/>
          <w:highlight w:val="none"/>
          <w:lang w:val="en-US" w:eastAsia="zh-CN" w:bidi="ar-SA"/>
        </w:rPr>
        <w:t>解决方案</w:t>
      </w:r>
      <w:r>
        <w:rPr>
          <w:rFonts w:hint="eastAsia" w:eastAsia="宋体" w:cs="Times New Roman"/>
          <w:color w:val="auto"/>
          <w:kern w:val="2"/>
          <w:sz w:val="24"/>
          <w:szCs w:val="24"/>
          <w:highlight w:val="none"/>
          <w:lang w:val="en-US" w:eastAsia="zh-CN" w:bidi="ar-SA"/>
        </w:rPr>
        <w:t>》。</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80" w:firstLineChars="200"/>
        <w:jc w:val="both"/>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hint="eastAsia" w:ascii="宋体" w:hAnsi="宋体"/>
          <w:sz w:val="24"/>
          <w:szCs w:val="24"/>
          <w:highlight w:val="none"/>
          <w:lang w:val="en-US" w:eastAsia="zh-CN"/>
        </w:rPr>
        <w:t>4、附件十一《项目基本架构》供响应单位我司项目基本情况。（无需响应仅供参考）</w:t>
      </w:r>
      <w:r>
        <w:rPr>
          <w:rFonts w:ascii="宋体" w:hAnsi="宋体"/>
          <w:szCs w:val="21"/>
          <w:highlight w:val="none"/>
        </w:rPr>
        <w:br w:type="page"/>
      </w:r>
      <w:bookmarkEnd w:id="11"/>
      <w:bookmarkStart w:id="36" w:name="_GoBack"/>
      <w:bookmarkEnd w:id="36"/>
      <w:bookmarkStart w:id="16" w:name="_Toc7733_WPSOffice_Level1"/>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1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1、在研究了</w:t>
      </w:r>
      <w:r>
        <w:rPr>
          <w:rFonts w:hint="eastAsia" w:ascii="宋体" w:hAnsi="宋体"/>
          <w:b/>
          <w:bCs/>
          <w:highlight w:val="none"/>
          <w:u w:val="single"/>
          <w:lang w:val="en-US" w:eastAsia="zh-CN"/>
        </w:rPr>
        <w:t xml:space="preserve"> 航材立体库房WMS和WCS系统运维项目  </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______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采购文件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highlight w:val="none"/>
          <w:u w:val="single"/>
          <w:lang w:val="en-US" w:eastAsia="zh-CN"/>
        </w:rPr>
        <w:t xml:space="preserve"> 90 </w:t>
      </w:r>
      <w:r>
        <w:rPr>
          <w:rFonts w:ascii="宋体" w:hAnsi="宋体"/>
          <w:highlight w:val="none"/>
          <w:u w:val="single"/>
        </w:rPr>
        <w:t>个日历天</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17" w:name="_Hlk35922021"/>
      <w:r>
        <w:rPr>
          <w:rFonts w:hint="eastAsia" w:ascii="黑体" w:hAnsi="宋体" w:eastAsia="黑体"/>
          <w:sz w:val="30"/>
          <w:szCs w:val="30"/>
          <w:highlight w:val="none"/>
          <w:lang w:val="en-US" w:eastAsia="zh-CN"/>
        </w:rPr>
        <w:t>二、</w:t>
      </w:r>
      <w:bookmarkEnd w:id="17"/>
      <w:r>
        <w:rPr>
          <w:rFonts w:hint="eastAsia" w:ascii="黑体" w:hAnsi="宋体" w:eastAsia="黑体"/>
          <w:sz w:val="30"/>
          <w:szCs w:val="30"/>
          <w:highlight w:val="none"/>
          <w:lang w:val="en-US" w:eastAsia="zh-CN"/>
        </w:rPr>
        <w:t>报价表</w:t>
      </w:r>
    </w:p>
    <w:tbl>
      <w:tblPr>
        <w:tblStyle w:val="33"/>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1863"/>
        <w:gridCol w:w="1444"/>
        <w:gridCol w:w="1444"/>
        <w:gridCol w:w="1444"/>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序号</w:t>
            </w:r>
          </w:p>
        </w:tc>
        <w:tc>
          <w:tcPr>
            <w:tcW w:w="1863"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eastAsia="zh-CN"/>
              </w:rPr>
            </w:pPr>
            <w:r>
              <w:rPr>
                <w:rFonts w:hint="eastAsia" w:ascii="宋体" w:hAnsi="宋体" w:cs="宋体"/>
                <w:highlight w:val="none"/>
                <w:lang w:eastAsia="zh-CN"/>
              </w:rPr>
              <w:t>服务项目</w:t>
            </w:r>
          </w:p>
        </w:tc>
        <w:tc>
          <w:tcPr>
            <w:tcW w:w="1444"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单价（1年）</w:t>
            </w:r>
          </w:p>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lang w:val="en-US" w:eastAsia="zh-CN"/>
              </w:rPr>
            </w:pPr>
            <w:r>
              <w:rPr>
                <w:rFonts w:hint="eastAsia" w:ascii="宋体" w:hAnsi="宋体" w:cs="宋体"/>
                <w:highlight w:val="none"/>
                <w:lang w:val="en-US" w:eastAsia="zh-CN"/>
              </w:rPr>
              <w:t>（含税）</w:t>
            </w:r>
          </w:p>
        </w:tc>
        <w:tc>
          <w:tcPr>
            <w:tcW w:w="1444"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highlight w:val="none"/>
                <w:lang w:val="en-US" w:eastAsia="zh-CN"/>
              </w:rPr>
            </w:pPr>
            <w:r>
              <w:rPr>
                <w:rFonts w:hint="eastAsia" w:ascii="宋体"/>
                <w:highlight w:val="none"/>
                <w:lang w:val="en-US" w:eastAsia="zh-CN"/>
              </w:rPr>
              <w:t>数量（年）</w:t>
            </w:r>
          </w:p>
        </w:tc>
        <w:tc>
          <w:tcPr>
            <w:tcW w:w="1444"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lang w:val="en-US" w:eastAsia="zh-CN"/>
              </w:rPr>
            </w:pPr>
            <w:r>
              <w:rPr>
                <w:rFonts w:hint="eastAsia" w:ascii="宋体" w:hAnsi="宋体" w:cs="宋体"/>
                <w:highlight w:val="none"/>
                <w:lang w:val="en-US" w:eastAsia="zh-CN"/>
              </w:rPr>
              <w:t>总价</w:t>
            </w:r>
          </w:p>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lang w:val="en-US" w:eastAsia="zh-CN"/>
              </w:rPr>
            </w:pPr>
            <w:r>
              <w:rPr>
                <w:rFonts w:hint="eastAsia" w:ascii="宋体" w:hAnsi="宋体" w:cs="宋体"/>
                <w:highlight w:val="none"/>
                <w:lang w:val="en-US" w:eastAsia="zh-CN"/>
              </w:rPr>
              <w:t>（含税）</w:t>
            </w:r>
          </w:p>
        </w:tc>
        <w:tc>
          <w:tcPr>
            <w:tcW w:w="1943" w:type="dxa"/>
            <w:tcBorders>
              <w:top w:val="double" w:color="auto" w:sz="4"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rPr>
            </w:pPr>
            <w:r>
              <w:rPr>
                <w:rFonts w:hint="eastAsia" w:ascii="宋体" w:hAnsi="宋体" w:cs="宋体"/>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1</w:t>
            </w:r>
          </w:p>
        </w:tc>
        <w:tc>
          <w:tcPr>
            <w:tcW w:w="18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WMS系统运维</w:t>
            </w: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val="en-US" w:eastAsia="zh-CN"/>
              </w:rPr>
            </w:pPr>
            <w:r>
              <w:rPr>
                <w:rFonts w:hint="eastAsia" w:ascii="宋体"/>
                <w:highlight w:val="none"/>
                <w:lang w:val="en-US" w:eastAsia="zh-CN"/>
              </w:rPr>
              <w:t>2</w:t>
            </w: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2</w:t>
            </w:r>
          </w:p>
        </w:tc>
        <w:tc>
          <w:tcPr>
            <w:tcW w:w="18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ighlight w:val="none"/>
                <w:lang w:val="en-US" w:eastAsia="zh-CN"/>
              </w:rPr>
            </w:pPr>
            <w:r>
              <w:rPr>
                <w:rFonts w:hint="eastAsia" w:ascii="宋体"/>
                <w:highlight w:val="none"/>
                <w:lang w:val="en-US" w:eastAsia="zh-CN"/>
              </w:rPr>
              <w:t>WCS（含PLC）</w:t>
            </w:r>
          </w:p>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系统运维</w:t>
            </w: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val="en-US" w:eastAsia="zh-CN"/>
              </w:rPr>
            </w:pPr>
            <w:r>
              <w:rPr>
                <w:rFonts w:hint="eastAsia" w:ascii="宋体"/>
                <w:highlight w:val="none"/>
                <w:lang w:val="en-US" w:eastAsia="zh-CN"/>
              </w:rPr>
              <w:t>2</w:t>
            </w: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eastAsia="zh-CN"/>
              </w:rPr>
            </w:pPr>
            <w:r>
              <w:rPr>
                <w:rFonts w:hint="eastAsia" w:ascii="宋体" w:cs="宋体"/>
                <w:highlight w:val="none"/>
                <w:lang w:val="en-US" w:eastAsia="zh-CN"/>
              </w:rPr>
              <w:t>3</w:t>
            </w:r>
          </w:p>
        </w:tc>
        <w:tc>
          <w:tcPr>
            <w:tcW w:w="18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宋体" w:eastAsia="宋体"/>
                <w:highlight w:val="none"/>
                <w:lang w:val="en-US" w:eastAsia="zh-CN"/>
              </w:rPr>
            </w:pPr>
            <w:r>
              <w:rPr>
                <w:rFonts w:hint="eastAsia" w:ascii="宋体"/>
                <w:highlight w:val="none"/>
                <w:lang w:val="en-US" w:eastAsia="zh-CN"/>
              </w:rPr>
              <w:t>其他服务</w:t>
            </w: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val="en-US" w:eastAsia="zh-CN"/>
              </w:rPr>
            </w:pPr>
            <w:r>
              <w:rPr>
                <w:rFonts w:hint="eastAsia" w:ascii="宋体"/>
                <w:highlight w:val="none"/>
                <w:lang w:val="en-US" w:eastAsia="zh-CN"/>
              </w:rPr>
              <w:t>2</w:t>
            </w:r>
          </w:p>
        </w:tc>
        <w:tc>
          <w:tcPr>
            <w:tcW w:w="144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总报价</w:t>
            </w:r>
          </w:p>
        </w:tc>
        <w:tc>
          <w:tcPr>
            <w:tcW w:w="8138" w:type="dxa"/>
            <w:gridSpan w:val="5"/>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ascii="宋体"/>
                <w:highlight w:val="none"/>
              </w:rPr>
            </w:pPr>
            <w:r>
              <w:rPr>
                <w:rFonts w:hint="eastAsia" w:ascii="宋体" w:hAnsi="宋体" w:cs="宋体"/>
                <w:highlight w:val="none"/>
              </w:rPr>
              <w:t>小写：</w:t>
            </w:r>
          </w:p>
          <w:p>
            <w:pPr>
              <w:keepNext w:val="0"/>
              <w:keepLines w:val="0"/>
              <w:pageBreakBefore w:val="0"/>
              <w:kinsoku/>
              <w:wordWrap/>
              <w:overflowPunct/>
              <w:topLinePunct w:val="0"/>
              <w:autoSpaceDE/>
              <w:autoSpaceDN/>
              <w:bidi w:val="0"/>
              <w:adjustRightInd w:val="0"/>
              <w:snapToGrid w:val="0"/>
              <w:spacing w:line="240" w:lineRule="auto"/>
              <w:ind w:left="-88" w:leftChars="-42" w:firstLine="105" w:firstLineChars="50"/>
              <w:jc w:val="left"/>
              <w:textAlignment w:val="auto"/>
              <w:outlineLvl w:val="9"/>
              <w:rPr>
                <w:rFonts w:ascii="宋体"/>
                <w:highlight w:val="none"/>
              </w:rPr>
            </w:pPr>
            <w:r>
              <w:rPr>
                <w:rFonts w:hint="eastAsia" w:ascii="宋体" w:hAnsi="宋体" w:cs="宋体"/>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6"/>
            <w:tcBorders>
              <w:top w:val="single" w:color="auto" w:sz="6" w:space="0"/>
              <w:left w:val="double" w:color="auto" w:sz="4" w:space="0"/>
              <w:bottom w:val="double" w:color="auto" w:sz="4"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left"/>
              <w:textAlignment w:val="auto"/>
              <w:outlineLvl w:val="9"/>
              <w:rPr>
                <w:rFonts w:ascii="宋体"/>
                <w:highlight w:val="none"/>
              </w:rPr>
            </w:pPr>
            <w:r>
              <w:rPr>
                <w:rFonts w:hint="eastAsia" w:ascii="宋体" w:hAnsi="宋体" w:cs="宋体"/>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仿宋_GB2312" w:hAnsi="宋体" w:eastAsia="仿宋_GB2312"/>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highlight w:val="none"/>
        </w:rPr>
        <w:sectPr>
          <w:pgSz w:w="11906" w:h="16838"/>
          <w:pgMar w:top="1803" w:right="1440" w:bottom="1803" w:left="1440" w:header="851" w:footer="992" w:gutter="0"/>
          <w:cols w:space="720" w:num="1"/>
          <w:rtlGutter w:val="0"/>
          <w:docGrid w:linePitch="315" w:charSpace="0"/>
        </w:sectPr>
      </w:pPr>
      <w:r>
        <w:rPr>
          <w:rFonts w:ascii="宋体" w:hAnsi="宋体"/>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18"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（竞争性谈判项目名称）      </w:t>
      </w:r>
      <w:r>
        <w:rPr>
          <w:rFonts w:hint="eastAsia" w:ascii="宋体" w:hAnsi="宋体"/>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18"/>
    </w:p>
    <w:p>
      <w:pPr>
        <w:keepNext w:val="0"/>
        <w:keepLines w:val="0"/>
        <w:pageBreakBefore w:val="0"/>
        <w:kinsoku/>
        <w:overflowPunct/>
        <w:topLinePunct w:val="0"/>
        <w:autoSpaceDE/>
        <w:autoSpaceDN/>
        <w:bidi w:val="0"/>
        <w:spacing w:line="300" w:lineRule="auto"/>
        <w:ind w:right="420"/>
        <w:jc w:val="both"/>
        <w:textAlignment w:val="auto"/>
        <w:outlineLvl w:val="9"/>
        <w:rPr>
          <w:rFonts w:hint="eastAsia" w:ascii="黑体" w:hAnsi="宋体" w:eastAsia="黑体"/>
          <w:sz w:val="30"/>
          <w:szCs w:val="30"/>
          <w:highlight w:val="none"/>
          <w:lang w:val="en-US" w:eastAsia="zh-CN"/>
        </w:rPr>
      </w:pPr>
      <w:r>
        <w:rPr>
          <w:rFonts w:ascii="宋体" w:hAnsi="宋体"/>
          <w:sz w:val="24"/>
          <w:szCs w:val="24"/>
          <w:highlight w:val="none"/>
        </w:rPr>
        <w:br w:type="page"/>
      </w: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项目名称：</w:t>
      </w:r>
      <w:r>
        <w:rPr>
          <w:rFonts w:hint="eastAsia" w:ascii="仿宋_GB2312"/>
          <w:szCs w:val="32"/>
          <w:highlight w:val="none"/>
          <w:lang w:val="en-US" w:eastAsia="zh-CN"/>
        </w:rPr>
        <w:t>航材立体库房WMS和WCS系统运维项目</w:t>
      </w:r>
      <w:r>
        <w:rPr>
          <w:rFonts w:hint="eastAsia" w:ascii="仿宋_GB2312"/>
          <w:szCs w:val="32"/>
          <w:highlight w:val="none"/>
        </w:rPr>
        <w:t xml:space="preserve">                                     </w:t>
      </w:r>
    </w:p>
    <w:p>
      <w:pPr>
        <w:snapToGrid w:val="0"/>
        <w:spacing w:line="560" w:lineRule="exact"/>
        <w:rPr>
          <w:rFonts w:hint="default" w:ascii="仿宋_GB2312" w:eastAsia="宋体"/>
          <w:szCs w:val="32"/>
          <w:highlight w:val="none"/>
          <w:lang w:val="en-US" w:eastAsia="zh-CN"/>
        </w:rPr>
      </w:pPr>
      <w:bookmarkStart w:id="19" w:name="_Toc11341_WPSOffice_Level1"/>
      <w:bookmarkStart w:id="20" w:name="_Toc26253_WPSOffice_Level1"/>
      <w:bookmarkStart w:id="21" w:name="_Toc11907_WPSOffice_Level1"/>
      <w:r>
        <w:rPr>
          <w:rFonts w:hint="eastAsia" w:ascii="仿宋_GB2312"/>
          <w:szCs w:val="32"/>
          <w:highlight w:val="none"/>
        </w:rPr>
        <w:t>甲  方：</w:t>
      </w:r>
      <w:bookmarkEnd w:id="19"/>
      <w:bookmarkEnd w:id="20"/>
      <w:bookmarkEnd w:id="21"/>
      <w:r>
        <w:rPr>
          <w:rFonts w:hint="eastAsia" w:ascii="仿宋_GB2312"/>
          <w:szCs w:val="32"/>
          <w:highlight w:val="none"/>
          <w:lang w:val="en-US" w:eastAsia="zh-CN"/>
        </w:rPr>
        <w:t>上海飞机客户服务有限公司</w:t>
      </w:r>
    </w:p>
    <w:p>
      <w:pPr>
        <w:snapToGrid w:val="0"/>
        <w:spacing w:line="560" w:lineRule="exact"/>
        <w:rPr>
          <w:rFonts w:ascii="仿宋_GB2312"/>
          <w:szCs w:val="32"/>
          <w:highlight w:val="none"/>
        </w:rPr>
      </w:pPr>
      <w:bookmarkStart w:id="22" w:name="_Toc25445_WPSOffice_Level1"/>
      <w:bookmarkStart w:id="23" w:name="_Toc31341_WPSOffice_Level1"/>
      <w:bookmarkStart w:id="24" w:name="_Toc27021_WPSOffice_Level1"/>
      <w:r>
        <w:rPr>
          <w:rFonts w:hint="eastAsia" w:ascii="仿宋_GB2312"/>
          <w:szCs w:val="32"/>
          <w:highlight w:val="none"/>
        </w:rPr>
        <w:t>乙  方：</w:t>
      </w:r>
      <w:bookmarkEnd w:id="22"/>
      <w:bookmarkEnd w:id="23"/>
      <w:bookmarkEnd w:id="24"/>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sectPr>
          <w:type w:val="continuous"/>
          <w:pgSz w:w="11906" w:h="16838"/>
          <w:pgMar w:top="1803" w:right="1440" w:bottom="1803" w:left="1440" w:header="851" w:footer="992" w:gutter="0"/>
          <w:cols w:space="720" w:num="1"/>
          <w:rtlGutter w:val="0"/>
          <w:docGrid w:linePitch="315" w:charSpace="0"/>
        </w:sectPr>
      </w:pPr>
      <w:r>
        <w:rPr>
          <w:rFonts w:hint="eastAsia" w:ascii="宋体" w:hAnsi="宋体"/>
          <w:sz w:val="24"/>
          <w:szCs w:val="24"/>
          <w:highlight w:val="none"/>
          <w:u w:val="none"/>
          <w:lang w:eastAsia="zh-CN"/>
        </w:rPr>
        <w:t>七、本协议作为</w:t>
      </w:r>
      <w:r>
        <w:rPr>
          <w:rFonts w:hint="eastAsia" w:ascii="宋体" w:hAnsi="宋体"/>
          <w:sz w:val="24"/>
          <w:szCs w:val="24"/>
          <w:highlight w:val="none"/>
          <w:u w:val="none"/>
          <w:lang w:val="en-US" w:eastAsia="zh-CN"/>
        </w:rPr>
        <w:t>航材立体库房WMS和WCS系统运维</w:t>
      </w:r>
      <w:r>
        <w:rPr>
          <w:rFonts w:hint="eastAsia" w:ascii="宋体" w:hAnsi="宋体"/>
          <w:sz w:val="24"/>
          <w:szCs w:val="24"/>
          <w:highlight w:val="none"/>
          <w:u w:val="none"/>
          <w:lang w:eastAsia="zh-CN"/>
        </w:rPr>
        <w:t>合同的附件，具有与其同等的法律效力。</w:t>
      </w:r>
    </w:p>
    <w:p>
      <w:pPr>
        <w:keepNext w:val="0"/>
        <w:keepLines w:val="0"/>
        <w:pageBreakBefore w:val="0"/>
        <w:kinsoku/>
        <w:overflowPunct/>
        <w:topLinePunct w:val="0"/>
        <w:autoSpaceDE/>
        <w:autoSpaceDN/>
        <w:bidi w:val="0"/>
        <w:spacing w:line="300" w:lineRule="auto"/>
        <w:ind w:right="420"/>
        <w:jc w:val="both"/>
        <w:textAlignment w:val="auto"/>
        <w:outlineLvl w:val="9"/>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八、技术要求</w:t>
      </w:r>
    </w:p>
    <w:p>
      <w:pPr>
        <w:rPr>
          <w:rFonts w:hint="eastAsia" w:ascii="黑体" w:hAnsi="宋体" w:eastAsia="黑体"/>
          <w:sz w:val="32"/>
          <w:szCs w:val="32"/>
          <w:highlight w:val="none"/>
          <w:lang w:val="en-US" w:eastAsia="zh-CN"/>
        </w:rPr>
      </w:pPr>
    </w:p>
    <w:tbl>
      <w:tblPr>
        <w:tblStyle w:val="33"/>
        <w:tblW w:w="13305" w:type="dxa"/>
        <w:tblInd w:w="0" w:type="dxa"/>
        <w:tblLayout w:type="fixed"/>
        <w:tblCellMar>
          <w:top w:w="0" w:type="dxa"/>
          <w:left w:w="0" w:type="dxa"/>
          <w:bottom w:w="0" w:type="dxa"/>
          <w:right w:w="0" w:type="dxa"/>
        </w:tblCellMar>
      </w:tblPr>
      <w:tblGrid>
        <w:gridCol w:w="1080"/>
        <w:gridCol w:w="2370"/>
        <w:gridCol w:w="7695"/>
        <w:gridCol w:w="1080"/>
        <w:gridCol w:w="1080"/>
      </w:tblGrid>
      <w:tr>
        <w:tblPrEx>
          <w:tblLayout w:type="fixed"/>
          <w:tblCellMar>
            <w:top w:w="0" w:type="dxa"/>
            <w:left w:w="0" w:type="dxa"/>
            <w:bottom w:w="0" w:type="dxa"/>
            <w:right w:w="0" w:type="dxa"/>
          </w:tblCellMar>
        </w:tblPrEx>
        <w:trPr>
          <w:trHeight w:val="836"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系统名称</w:t>
            </w:r>
          </w:p>
        </w:tc>
        <w:tc>
          <w:tcPr>
            <w:tcW w:w="7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系统维保明细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Layout w:type="fixed"/>
          <w:tblCellMar>
            <w:top w:w="0" w:type="dxa"/>
            <w:left w:w="0" w:type="dxa"/>
            <w:bottom w:w="0" w:type="dxa"/>
            <w:right w:w="0" w:type="dxa"/>
          </w:tblCellMar>
        </w:tblPrEx>
        <w:trPr>
          <w:trHeight w:val="6233"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WCS软件系统</w:t>
            </w:r>
          </w:p>
        </w:tc>
        <w:tc>
          <w:tcPr>
            <w:tcW w:w="7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1.系统监控与告警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a.资源监控：实时监控CPU、内存、磁盘、网络等资源使用情况。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b.服务状态监控：检查应用服务的运行状态和响应时间。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c.日志监控：分析系统日志、应用日志和错误日志。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2.备份与恢复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a.数据备份：定期备份数据库、配置文件、用户数据。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b.灾备演练：验证备份数据的可恢复性，确保灾难恢复方案有效。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c.版本快照：对关键系统创建快照。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3.巡检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a.检查系统健康状态、服务可用性、安全漏洞。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Layout w:type="fixed"/>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WMS软件系统</w:t>
            </w:r>
          </w:p>
        </w:tc>
        <w:tc>
          <w:tcPr>
            <w:tcW w:w="7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240" w:hanging="240" w:hanging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1.系统监控与告警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a.资源监控：实时监控CPU、内存、磁盘、网络等资源使用情况。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b.服务状态监控：检查应用服务的运行状态和响应时间。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c.日志监控：分析系统日志、应用日志和错误日志。</w:t>
            </w:r>
          </w:p>
          <w:p>
            <w:pPr>
              <w:keepNext w:val="0"/>
              <w:keepLines w:val="0"/>
              <w:widowControl/>
              <w:suppressLineNumbers w:val="0"/>
              <w:ind w:left="240" w:hanging="240" w:hangingChars="10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left="240" w:hanging="240" w:hanging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2.备份与恢复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a.数据备份：定期备份数据库、配置文件、用户数据。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b.灾备演练：验证备份数据的可恢复性，确保灾难恢复方案有效。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c.版本快照：对关键系统创建快照。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3.巡检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a.检查系统健康状态、服务可用性、安全漏洞。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Layout w:type="fixed"/>
          <w:tblCellMar>
            <w:top w:w="0" w:type="dxa"/>
            <w:left w:w="0" w:type="dxa"/>
            <w:bottom w:w="0" w:type="dxa"/>
            <w:right w:w="0" w:type="dxa"/>
          </w:tblCellMar>
        </w:tblPrEx>
        <w:trPr>
          <w:trHeight w:val="3262"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PLC软件系统</w:t>
            </w:r>
          </w:p>
        </w:tc>
        <w:tc>
          <w:tcPr>
            <w:tcW w:w="7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1.PLC硬件检查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a.电源检查：检查PLC电源是否稳定，确保电压在规定范围内。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b.连接检查：检查所有输入输出端口连接是否牢固，避免接触不良。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c.通讯检查：检查PLC与其他设备（如传感器、执行器、主机等）的通讯是否正常，通讯线路是否完好。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2.PLC软件维护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a.备份程序：定期将PLC程序下载至外部存储设备（如USB或网络存储），以防止程序丢失或损坏。可以使用PLC编程软件（如TIA Portal、Step 7等）进行备份操作。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b.恢复程序：在PLC程序丢失或损坏时，可以使用备份文件进行恢复。恢复前，请确认PLC与编程设备的通讯正常。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3.数据备份和恢复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a.定期备份PLC程序和参数，确保在发生系统故障时可以快速恢复。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bl>
    <w:p>
      <w:pPr>
        <w:pStyle w:val="2"/>
        <w:keepNext/>
        <w:keepLines/>
        <w:pageBreakBefore w:val="0"/>
        <w:widowControl w:val="0"/>
        <w:kinsoku/>
        <w:wordWrap/>
        <w:overflowPunct/>
        <w:topLinePunct w:val="0"/>
        <w:autoSpaceDE/>
        <w:autoSpaceDN/>
        <w:bidi w:val="0"/>
        <w:adjustRightInd w:val="0"/>
        <w:snapToGrid/>
        <w:textAlignment w:val="baseline"/>
        <w:rPr>
          <w:rFonts w:hint="eastAsia"/>
          <w:lang w:val="en-US" w:eastAsia="zh-CN"/>
        </w:rPr>
        <w:sectPr>
          <w:pgSz w:w="16838" w:h="11906" w:orient="landscape"/>
          <w:pgMar w:top="1440" w:right="1803" w:bottom="1440" w:left="1803" w:header="851" w:footer="992" w:gutter="0"/>
          <w:cols w:space="720" w:num="1"/>
          <w:rtlGutter w:val="0"/>
          <w:docGrid w:linePitch="315" w:charSpace="0"/>
        </w:sectPr>
      </w:pP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jc w:val="center"/>
        <w:textAlignment w:val="auto"/>
        <w:rPr>
          <w:rFonts w:hint="default" w:cs="宋体"/>
          <w:b/>
          <w:bCs/>
          <w:sz w:val="24"/>
          <w:szCs w:val="24"/>
          <w:highlight w:val="none"/>
          <w:lang w:val="en-US" w:eastAsia="zh-CN"/>
        </w:rPr>
      </w:pPr>
      <w:r>
        <w:rPr>
          <w:rFonts w:hint="eastAsia" w:ascii="宋体" w:hAnsi="宋体" w:eastAsia="宋体" w:cs="宋体"/>
          <w:b/>
          <w:bCs/>
          <w:sz w:val="24"/>
          <w:szCs w:val="24"/>
          <w:highlight w:val="none"/>
          <w:lang w:val="en-US" w:eastAsia="zh-CN"/>
        </w:rPr>
        <w:t>软件系统运维</w:t>
      </w:r>
      <w:r>
        <w:rPr>
          <w:rFonts w:hint="eastAsia" w:cs="宋体"/>
          <w:b/>
          <w:bCs/>
          <w:sz w:val="24"/>
          <w:szCs w:val="24"/>
          <w:highlight w:val="none"/>
          <w:lang w:val="en-US" w:eastAsia="zh-CN"/>
        </w:rPr>
        <w:t>内容</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软件系统运维是对软件运行过程进行监控、管理、维护等一系列活动的总称。以下是软件系统运维工作的主要内容：</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系统监控</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系统监控是软件系统运维的基础工作之一。</w:t>
      </w:r>
      <w:r>
        <w:rPr>
          <w:rFonts w:hint="eastAsia" w:cs="宋体"/>
          <w:sz w:val="24"/>
          <w:szCs w:val="24"/>
          <w:highlight w:val="none"/>
          <w:lang w:val="en-US" w:eastAsia="zh-CN"/>
        </w:rPr>
        <w:t>甲方可</w:t>
      </w:r>
      <w:r>
        <w:rPr>
          <w:rFonts w:hint="eastAsia" w:ascii="宋体" w:hAnsi="宋体" w:eastAsia="宋体" w:cs="宋体"/>
          <w:sz w:val="24"/>
          <w:szCs w:val="24"/>
          <w:highlight w:val="none"/>
          <w:lang w:val="en-US" w:eastAsia="zh-CN"/>
        </w:rPr>
        <w:t>对软件系统进行实时监控，及时发现并</w:t>
      </w:r>
      <w:r>
        <w:rPr>
          <w:rFonts w:hint="eastAsia" w:cs="宋体"/>
          <w:sz w:val="24"/>
          <w:szCs w:val="24"/>
          <w:highlight w:val="none"/>
          <w:lang w:val="en-US" w:eastAsia="zh-CN"/>
        </w:rPr>
        <w:t>通知供应商</w:t>
      </w:r>
      <w:r>
        <w:rPr>
          <w:rFonts w:hint="eastAsia" w:ascii="宋体" w:hAnsi="宋体" w:eastAsia="宋体" w:cs="宋体"/>
          <w:sz w:val="24"/>
          <w:szCs w:val="24"/>
          <w:highlight w:val="none"/>
          <w:lang w:val="en-US" w:eastAsia="zh-CN"/>
        </w:rPr>
        <w:t>处理异常情况。监控的内容包括系统资源使用情况、网络状态、应用程序运行情况等。通过</w:t>
      </w:r>
      <w:r>
        <w:rPr>
          <w:rFonts w:hint="eastAsia" w:cs="宋体"/>
          <w:sz w:val="24"/>
          <w:szCs w:val="24"/>
          <w:highlight w:val="none"/>
          <w:lang w:val="en-US" w:eastAsia="zh-CN"/>
        </w:rPr>
        <w:t>供应商安装的</w:t>
      </w:r>
      <w:r>
        <w:rPr>
          <w:rFonts w:hint="eastAsia" w:ascii="宋体" w:hAnsi="宋体" w:eastAsia="宋体" w:cs="宋体"/>
          <w:sz w:val="24"/>
          <w:szCs w:val="24"/>
          <w:highlight w:val="none"/>
          <w:lang w:val="en-US" w:eastAsia="zh-CN"/>
        </w:rPr>
        <w:t>监控工具和自定义监控脚本，可以及时发现潜在的问题，并提前进行处理，确保软件系统的稳定性和可用性。</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故障排查</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软件系统出现故障时，运维人员需要及时进行故障排查。故障排查的目的是快速定位问题并解决，恢复软件系统的正常运行。运维人员需要熟悉常见的故障排查方法，如日志分析、进程状态检查、网络诊断等。同时，需要根据故障情况进行分类和总结，建立完善的故障处理流程，提高故障处理的效率和质量。</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 备份与恢复</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份与恢复是软件系统运维的重要工作之一。备份的目的是确保数据的安全性和完整性，避免数据丢失或损坏。运维人员需要定期进行数据备份，并建立完善的备份策略和计划。在发生故障时，需要及时进行数据恢复，确保软件系统的正常运行。备份与恢复过程中需要注意数据的完整性和一致性，避免出现数据不一致或损坏的情况。</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rPr>
        <w:t>. 性能优化</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性能优化是提高软件系统运行效率的重要手段。运维人员需要对软件系统进行性能测试和评估，了解系统的瓶颈和问题，并采取相应的优化措施。性能优化包括硬件配置优化、操作系统参数调整、数据库优化等。通过性能优化可以提高软件系统的响应速度和处理能力，提高用户满意度和系统运行效率。</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 版本更新</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软件系统的版本更新是保持系统先进性和稳定性的重要手段。运维人员需要及时关注软件系统的更新信息，并按照更新计划进行升级和更新。版本更新包括系统补丁、功能增强、漏洞修复等。通过版本更新可以确保软件系统的功能完善、运行稳定，提高系统的安全性和可靠性。</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 文档编写</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档编写是软件系统运维的重要工作之一。运维人员需要编写相关的技术文档和管理文档，包括系统架构图、部署文档、故障处理记录等。这些文档可以为其他运维人员提供参考和支持，方便后续的系统维护和管理。同时，文档编写还可以提高运维工作的规范化和标准化程度，提高工作效率和质量。</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 应急预案</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急预案是应对突发事件的重要措施之一。运维人员需要制定完善的应急预案，包括应急组织、应急流程、应急措施等。当发生突发事件时，可以快速响应并采取有效的措施进行处置，减少损失和影响。应急预案需要根据实际情况进行调整和完善，确保其针对性和有效性。</w:t>
      </w:r>
    </w:p>
    <w:p>
      <w:pPr>
        <w:pStyle w:val="2"/>
        <w:rPr>
          <w:rFonts w:hint="eastAsia"/>
          <w:lang w:val="en-US" w:eastAsia="zh-CN"/>
        </w:rPr>
        <w:sectPr>
          <w:pgSz w:w="11906" w:h="16838"/>
          <w:pgMar w:top="1803" w:right="1440" w:bottom="1803" w:left="1440" w:header="851" w:footer="992" w:gutter="0"/>
          <w:cols w:space="720" w:num="1"/>
          <w:rtlGutter w:val="0"/>
          <w:docGrid w:linePitch="315" w:charSpace="0"/>
        </w:sectPr>
      </w:pPr>
    </w:p>
    <w:p>
      <w:pPr>
        <w:pStyle w:val="3"/>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PLC维护保养内容</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 PLC硬件维护</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 PLC硬件检查</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定期检查PLC硬件，确保设备处于正常工作状态。常见检查项目包括：</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电源检查</w:t>
      </w:r>
      <w:r>
        <w:rPr>
          <w:rFonts w:hint="eastAsia" w:ascii="宋体" w:hAnsi="宋体" w:eastAsia="宋体" w:cs="宋体"/>
          <w:sz w:val="24"/>
          <w:szCs w:val="24"/>
        </w:rPr>
        <w:t>：检查PLC电源是否稳定，确保电压在规定范围内。</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连接检查</w:t>
      </w:r>
      <w:r>
        <w:rPr>
          <w:rFonts w:hint="eastAsia" w:ascii="宋体" w:hAnsi="宋体" w:eastAsia="宋体" w:cs="宋体"/>
          <w:sz w:val="24"/>
          <w:szCs w:val="24"/>
        </w:rPr>
        <w:t>：检查所有输入输出端口连接是否牢固，避免接触不良。</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通讯检查</w:t>
      </w:r>
      <w:r>
        <w:rPr>
          <w:rFonts w:hint="eastAsia" w:ascii="宋体" w:hAnsi="宋体" w:eastAsia="宋体" w:cs="宋体"/>
          <w:sz w:val="24"/>
          <w:szCs w:val="24"/>
        </w:rPr>
        <w:t>：检查PLC与其他设备（如传感器、执行器、主机等）的通讯是否正常，通讯线路是否完好。</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环境检查</w:t>
      </w:r>
      <w:r>
        <w:rPr>
          <w:rFonts w:hint="eastAsia" w:ascii="宋体" w:hAnsi="宋体" w:eastAsia="宋体" w:cs="宋体"/>
          <w:sz w:val="24"/>
          <w:szCs w:val="24"/>
        </w:rPr>
        <w:t>：确认PLC安装环境的温湿度是否符合要求，避免环境因素对PLC造成损害。</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LED指示灯检查</w:t>
      </w:r>
      <w:r>
        <w:rPr>
          <w:rFonts w:hint="eastAsia" w:ascii="宋体" w:hAnsi="宋体" w:eastAsia="宋体" w:cs="宋体"/>
          <w:sz w:val="24"/>
          <w:szCs w:val="24"/>
        </w:rPr>
        <w:t>：观察PLC各模块的LED指示灯状态，确认PLC工作是否正常（如电源指示灯、通讯指示灯等）。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清洁与维护</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定期清洁PLC外壳，使用干净的布清洁表面和通风口。</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使用压缩空气或吸尘器清除设备内部的灰尘，避免灰尘积聚影响设备散热。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替换和升级</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模块替换</w:t>
      </w:r>
      <w:r>
        <w:rPr>
          <w:rFonts w:hint="eastAsia" w:ascii="宋体" w:hAnsi="宋体" w:eastAsia="宋体" w:cs="宋体"/>
          <w:sz w:val="24"/>
          <w:szCs w:val="24"/>
        </w:rPr>
        <w:t>：当发现某个模块损坏时，应按照产品说明书替换损坏的PLC模块。</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固件升级</w:t>
      </w:r>
      <w:r>
        <w:rPr>
          <w:rFonts w:hint="eastAsia" w:ascii="宋体" w:hAnsi="宋体" w:eastAsia="宋体" w:cs="宋体"/>
          <w:sz w:val="24"/>
          <w:szCs w:val="24"/>
        </w:rPr>
        <w:t>：定期检查PLC的固件版本，及时进行固件升级，以提高系统稳定性和安全性。</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PLC软件维护</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程序备份与恢复</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备份程序</w:t>
      </w:r>
      <w:r>
        <w:rPr>
          <w:rFonts w:hint="eastAsia" w:ascii="宋体" w:hAnsi="宋体" w:eastAsia="宋体" w:cs="宋体"/>
          <w:sz w:val="24"/>
          <w:szCs w:val="24"/>
        </w:rPr>
        <w:t>：定期将PLC程序下载至外部存储设备（如USB或网络存储），以防止程序丢失或损坏。可以使用PLC编程软件（如TIA Portal、Step 7等）进行备份操作。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恢复程序</w:t>
      </w:r>
      <w:r>
        <w:rPr>
          <w:rFonts w:hint="eastAsia" w:ascii="宋体" w:hAnsi="宋体" w:eastAsia="宋体" w:cs="宋体"/>
          <w:sz w:val="24"/>
          <w:szCs w:val="24"/>
        </w:rPr>
        <w:t>：在PLC程序丢失或损坏时，可以使用备份文件进行恢复。恢复前，请确认PLC与编程设备的通讯正常。</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程序更新与优化</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更新程序</w:t>
      </w:r>
      <w:r>
        <w:rPr>
          <w:rFonts w:hint="eastAsia" w:ascii="宋体" w:hAnsi="宋体" w:eastAsia="宋体" w:cs="宋体"/>
          <w:sz w:val="24"/>
          <w:szCs w:val="24"/>
        </w:rPr>
        <w:t>：根据需求进行PLC程序的修改和优化。修改时，应考虑控制逻辑的稳定性和系统的实时性。</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优化程序</w:t>
      </w:r>
      <w:r>
        <w:rPr>
          <w:rFonts w:hint="eastAsia" w:ascii="宋体" w:hAnsi="宋体" w:eastAsia="宋体" w:cs="宋体"/>
          <w:sz w:val="24"/>
          <w:szCs w:val="24"/>
        </w:rPr>
        <w:t>：定期检查PLC程序中的冗余逻辑和重复指令，优化控制策略，以提高系统运行效率。</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故障诊断程序</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在PLC中设置故障诊断程序，用于实时监控设备状态并生成报警。常见的故障诊断包括：</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传感器故障（例如，未检测到托盘、传感器损坏等）</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执行器故障（例如，电机故障、驱动器过载等）</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通讯故障（例如，PLC与其他设备通讯中断等）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数据记录与分析</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数据记录</w:t>
      </w:r>
      <w:r>
        <w:rPr>
          <w:rFonts w:hint="eastAsia" w:ascii="宋体" w:hAnsi="宋体" w:eastAsia="宋体" w:cs="宋体"/>
          <w:sz w:val="24"/>
          <w:szCs w:val="24"/>
        </w:rPr>
        <w:t>：定期记录PLC运行数据，包括生产数据、设备运行时长、故障记录等。这些数据有助于后续分析设备性能和故障原因。</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数据分析</w:t>
      </w:r>
      <w:r>
        <w:rPr>
          <w:rFonts w:hint="eastAsia" w:ascii="宋体" w:hAnsi="宋体" w:eastAsia="宋体" w:cs="宋体"/>
          <w:sz w:val="24"/>
          <w:szCs w:val="24"/>
        </w:rPr>
        <w:t>：通过分析数据，可以发现设备潜在的故障隐患，并提前采取维护措施。</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故障排查</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 常见故障及解决方法</w:t>
      </w:r>
    </w:p>
    <w:p>
      <w:pPr>
        <w:pStyle w:val="6"/>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.1.1 电源故障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症状</w:t>
      </w:r>
      <w:r>
        <w:rPr>
          <w:rFonts w:hint="eastAsia" w:ascii="宋体" w:hAnsi="宋体" w:eastAsia="宋体" w:cs="宋体"/>
          <w:sz w:val="24"/>
          <w:szCs w:val="24"/>
        </w:rPr>
        <w:t>：PLC无法启动或运行不稳定。</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排查方法</w:t>
      </w:r>
      <w:r>
        <w:rPr>
          <w:rFonts w:hint="eastAsia" w:ascii="宋体" w:hAnsi="宋体" w:eastAsia="宋体" w:cs="宋体"/>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检查电源输入电压是否符合要求。</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检查PLC电源模块是否工作正常，LED指示灯是否亮。</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确认电源线和接头是否松动。</w:t>
      </w:r>
    </w:p>
    <w:p>
      <w:pPr>
        <w:pStyle w:val="6"/>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 通讯故障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症状</w:t>
      </w:r>
      <w:r>
        <w:rPr>
          <w:rFonts w:hint="eastAsia" w:ascii="宋体" w:hAnsi="宋体" w:eastAsia="宋体" w:cs="宋体"/>
          <w:sz w:val="24"/>
          <w:szCs w:val="24"/>
        </w:rPr>
        <w:t>：PLC与其他设备无法通讯。</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排查方法</w:t>
      </w:r>
      <w:r>
        <w:rPr>
          <w:rFonts w:hint="eastAsia" w:ascii="宋体" w:hAnsi="宋体" w:eastAsia="宋体" w:cs="宋体"/>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检查通讯线路是否完好，连接是否稳定。</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使用编程软件检测PLC与外部设备（如传感器、执行器）是否能够正常通讯。</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检查PLC通讯配置是否正确。</w:t>
      </w:r>
    </w:p>
    <w:p>
      <w:pPr>
        <w:pStyle w:val="6"/>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.1.3 输入输出故障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症状</w:t>
      </w:r>
      <w:r>
        <w:rPr>
          <w:rFonts w:hint="eastAsia" w:ascii="宋体" w:hAnsi="宋体" w:eastAsia="宋体" w:cs="宋体"/>
          <w:sz w:val="24"/>
          <w:szCs w:val="24"/>
        </w:rPr>
        <w:t>：设备未能响应控制命令，或传感器未能正常读取。</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排查方法</w:t>
      </w:r>
      <w:r>
        <w:rPr>
          <w:rFonts w:hint="eastAsia" w:ascii="宋体" w:hAnsi="宋体" w:eastAsia="宋体" w:cs="宋体"/>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检查I/O模块是否正常工作，LED指示灯是否正常。</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检查输入传感器是否正常，是否存在损坏。</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使用PLC编程软件诊断I/O状态，确认信号是否传输正常。</w:t>
      </w:r>
    </w:p>
    <w:p>
      <w:pPr>
        <w:pStyle w:val="6"/>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.1.4 程序故障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症状</w:t>
      </w:r>
      <w:r>
        <w:rPr>
          <w:rFonts w:hint="eastAsia" w:ascii="宋体" w:hAnsi="宋体" w:eastAsia="宋体" w:cs="宋体"/>
          <w:sz w:val="24"/>
          <w:szCs w:val="24"/>
        </w:rPr>
        <w:t>：PLC程序异常，控制逻辑无法正常执行。</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排查方法</w:t>
      </w:r>
      <w:r>
        <w:rPr>
          <w:rFonts w:hint="eastAsia" w:ascii="宋体" w:hAnsi="宋体" w:eastAsia="宋体" w:cs="宋体"/>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检查PLC程序是否有错误或冲突。</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使用编程软件检查PLC程序中的逻辑是否符合预期。</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查阅报警信息，分析程序中的故障点。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 故障排查步骤</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确定故障类型：通过观察设备状态、PLC指示灯和报警信息，判断是硬件故障还是软件故障。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检查PLC和设备的连接：包括电源、通讯、I/O等。</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调用PLC编程软件进行故障诊断，查看PLC的运行状态和故障记录。</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记录故障并进行分析，以便后续改进。</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设备操作</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启动和停止操作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启动操作</w:t>
      </w:r>
      <w:r>
        <w:rPr>
          <w:rFonts w:hint="eastAsia" w:ascii="宋体" w:hAnsi="宋体" w:eastAsia="宋体" w:cs="宋体"/>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检查PLC电源、通讯和设备状态，确保一切正常。</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启动PLC控制系统，观察运行状态。</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根据控制面板或HMI界面启动堆垛机的工作模式。</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2" w:firstLineChars="200"/>
        <w:textAlignment w:val="auto"/>
        <w:rPr>
          <w:rFonts w:hint="eastAsia" w:ascii="宋体" w:hAnsi="宋体" w:eastAsia="宋体" w:cs="宋体"/>
          <w:sz w:val="24"/>
          <w:szCs w:val="24"/>
        </w:rPr>
      </w:pPr>
      <w:r>
        <w:rPr>
          <w:rStyle w:val="28"/>
          <w:rFonts w:hint="eastAsia" w:ascii="宋体" w:hAnsi="宋体" w:eastAsia="宋体" w:cs="宋体"/>
          <w:sz w:val="24"/>
          <w:szCs w:val="24"/>
        </w:rPr>
        <w:t>停止操作</w:t>
      </w:r>
      <w:r>
        <w:rPr>
          <w:rFonts w:hint="eastAsia" w:ascii="宋体" w:hAnsi="宋体" w:eastAsia="宋体" w:cs="宋体"/>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按照操作流程关闭设备，确保设备在安全状态下停止。</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关闭PLC控制系统，确保数据和程序保存。</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 日常操作检查</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每日检查PLC系统的运行状态，确保设备处于正常工作状态。</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检查所有输入输出设备的状态，确保无故障或异常。</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数据备份和恢复</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 数据备份</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定期备份PLC程序和参数，确保在发生系统故障时可以快速恢复。</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备份设备的操作数据，包括故障记录、运行时长等。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 数据恢复</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在发生系统崩溃或故障时，使用备份文件恢复PLC程序和参数。</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恢复数据时，确认恢复的版本和系统配置。</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安全与预防</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 安全操作规范</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严格按照操作手册和安全规范进行操作，确保操作人员的安全。</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使用个人防护设备（如手套、眼镜等）避免触电或机械伤害。</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预防措施</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定期检查PLC系统，提前发现并修复潜在故障。</w:t>
      </w:r>
    </w:p>
    <w:p>
      <w:pPr>
        <w:pStyle w:val="26"/>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定期对堆垛机的电气系统进行检查，确保所有设备处于安全工作状态。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rPr>
          <w:rFonts w:hint="eastAsia" w:ascii="宋体" w:hAnsi="宋体" w:eastAsia="宋体" w:cs="宋体"/>
          <w:sz w:val="24"/>
          <w:szCs w:val="24"/>
          <w:lang w:val="en-US" w:eastAsia="zh-CN"/>
        </w:rPr>
      </w:pPr>
    </w:p>
    <w:p>
      <w:pPr>
        <w:jc w:val="cente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其它软件运维服务内容</w:t>
      </w:r>
    </w:p>
    <w:p>
      <w:pPr>
        <w:pStyle w:val="2"/>
        <w:jc w:val="left"/>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定期</w:t>
      </w:r>
      <w:r>
        <w:rPr>
          <w:rFonts w:hint="eastAsia" w:ascii="宋体" w:hAnsi="宋体" w:eastAsia="宋体" w:cs="宋体"/>
          <w:b/>
          <w:bCs/>
          <w:kern w:val="0"/>
          <w:sz w:val="24"/>
          <w:szCs w:val="24"/>
          <w:highlight w:val="none"/>
          <w:lang w:val="en-US" w:eastAsia="zh-CN" w:bidi="ar-SA"/>
        </w:rPr>
        <w:t>巡查</w:t>
      </w:r>
    </w:p>
    <w:p>
      <w:pPr>
        <w:pStyle w:val="2"/>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主要包括以下内容</w:t>
      </w:r>
      <w:r>
        <w:rPr>
          <w:rFonts w:hint="eastAsia" w:ascii="宋体" w:hAnsi="宋体"/>
          <w:b w:val="0"/>
          <w:strike w:val="0"/>
          <w:kern w:val="2"/>
          <w:sz w:val="24"/>
          <w:szCs w:val="24"/>
          <w:highlight w:val="none"/>
          <w:lang w:val="en-US" w:eastAsia="zh-CN" w:bidi="ar-SA"/>
        </w:rPr>
        <w:t>（包含堆垛机系统，WCS系统，WMS系统,RF系统）</w:t>
      </w:r>
      <w:r>
        <w:rPr>
          <w:rFonts w:hint="eastAsia" w:ascii="宋体" w:hAnsi="宋体" w:eastAsia="宋体" w:cs="宋体"/>
          <w:b w:val="0"/>
          <w:kern w:val="0"/>
          <w:sz w:val="24"/>
          <w:szCs w:val="24"/>
          <w:highlight w:val="none"/>
          <w:lang w:val="en-US" w:eastAsia="zh-CN" w:bidi="ar-SA"/>
        </w:rPr>
        <w:t>：</w:t>
      </w:r>
    </w:p>
    <w:p>
      <w:pPr>
        <w:pStyle w:val="2"/>
        <w:numPr>
          <w:ilvl w:val="0"/>
          <w:numId w:val="16"/>
        </w:numPr>
        <w:ind w:left="420" w:leftChars="0" w:hanging="420" w:firstLineChars="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应用系统的优化、数据的整理、常见故障的排除。</w:t>
      </w:r>
    </w:p>
    <w:p>
      <w:pPr>
        <w:pStyle w:val="2"/>
        <w:numPr>
          <w:ilvl w:val="0"/>
          <w:numId w:val="16"/>
        </w:numPr>
        <w:ind w:left="420" w:leftChars="0" w:hanging="420" w:firstLineChars="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协助</w:t>
      </w:r>
      <w:r>
        <w:rPr>
          <w:rFonts w:hint="eastAsia" w:ascii="宋体" w:hAnsi="宋体" w:cs="宋体"/>
          <w:b w:val="0"/>
          <w:kern w:val="0"/>
          <w:sz w:val="24"/>
          <w:szCs w:val="24"/>
          <w:highlight w:val="none"/>
          <w:lang w:val="en-US" w:eastAsia="zh-CN" w:bidi="ar-SA"/>
        </w:rPr>
        <w:t>甲方</w:t>
      </w:r>
      <w:r>
        <w:rPr>
          <w:rFonts w:hint="eastAsia" w:ascii="宋体" w:hAnsi="宋体" w:eastAsia="宋体" w:cs="宋体"/>
          <w:b w:val="0"/>
          <w:kern w:val="0"/>
          <w:sz w:val="24"/>
          <w:szCs w:val="24"/>
          <w:highlight w:val="none"/>
          <w:lang w:val="en-US" w:eastAsia="zh-CN" w:bidi="ar-SA"/>
        </w:rPr>
        <w:t>备份重要资料，对</w:t>
      </w:r>
      <w:r>
        <w:rPr>
          <w:rFonts w:hint="eastAsia" w:ascii="宋体" w:hAnsi="宋体" w:cs="宋体"/>
          <w:b w:val="0"/>
          <w:kern w:val="0"/>
          <w:sz w:val="24"/>
          <w:szCs w:val="24"/>
          <w:highlight w:val="none"/>
          <w:lang w:val="en-US" w:eastAsia="zh-CN" w:bidi="ar-SA"/>
        </w:rPr>
        <w:t>甲方</w:t>
      </w:r>
      <w:r>
        <w:rPr>
          <w:rFonts w:hint="eastAsia" w:ascii="宋体" w:hAnsi="宋体" w:eastAsia="宋体" w:cs="宋体"/>
          <w:b w:val="0"/>
          <w:kern w:val="0"/>
          <w:sz w:val="24"/>
          <w:szCs w:val="24"/>
          <w:highlight w:val="none"/>
          <w:lang w:val="en-US" w:eastAsia="zh-CN" w:bidi="ar-SA"/>
        </w:rPr>
        <w:t>进行指导。</w:t>
      </w:r>
    </w:p>
    <w:p>
      <w:pPr>
        <w:pStyle w:val="2"/>
        <w:numPr>
          <w:ilvl w:val="0"/>
          <w:numId w:val="16"/>
        </w:numPr>
        <w:ind w:left="420" w:leftChars="0" w:hanging="420" w:firstLineChars="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系统软件补丁升级，数据备份与恢复。</w:t>
      </w:r>
    </w:p>
    <w:p>
      <w:pPr>
        <w:pStyle w:val="2"/>
        <w:numPr>
          <w:ilvl w:val="0"/>
          <w:numId w:val="16"/>
        </w:numPr>
        <w:ind w:left="420" w:leftChars="0" w:hanging="420" w:firstLineChars="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计算机病毒的查杀与升级。</w:t>
      </w:r>
    </w:p>
    <w:p>
      <w:pPr>
        <w:pStyle w:val="2"/>
        <w:numPr>
          <w:ilvl w:val="0"/>
          <w:numId w:val="16"/>
        </w:numPr>
        <w:ind w:left="420" w:leftChars="0" w:hanging="420" w:firstLineChars="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调试计算机，将设备调试到最佳状态。</w:t>
      </w:r>
    </w:p>
    <w:p>
      <w:pPr>
        <w:pStyle w:val="2"/>
        <w:jc w:val="left"/>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设备清洁保养</w:t>
      </w:r>
    </w:p>
    <w:p>
      <w:pPr>
        <w:pStyle w:val="2"/>
        <w:ind w:firstLine="420" w:firstLineChars="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通过清洁保养服务，最大限度降低设备的故障率，延长设备的使用寿命，同时为</w:t>
      </w:r>
      <w:r>
        <w:rPr>
          <w:rFonts w:hint="eastAsia" w:ascii="宋体" w:hAnsi="宋体" w:cs="宋体"/>
          <w:b w:val="0"/>
          <w:kern w:val="0"/>
          <w:sz w:val="24"/>
          <w:szCs w:val="24"/>
          <w:highlight w:val="none"/>
          <w:lang w:val="en-US" w:eastAsia="zh-CN" w:bidi="ar-SA"/>
        </w:rPr>
        <w:t>甲方</w:t>
      </w:r>
      <w:r>
        <w:rPr>
          <w:rFonts w:hint="eastAsia" w:ascii="宋体" w:hAnsi="宋体" w:eastAsia="宋体" w:cs="宋体"/>
          <w:b w:val="0"/>
          <w:kern w:val="0"/>
          <w:sz w:val="24"/>
          <w:szCs w:val="24"/>
          <w:highlight w:val="none"/>
          <w:lang w:val="en-US" w:eastAsia="zh-CN" w:bidi="ar-SA"/>
        </w:rPr>
        <w:t>人员提供一个整洁、干净的工作环境。</w:t>
      </w:r>
    </w:p>
    <w:p>
      <w:pPr>
        <w:pStyle w:val="2"/>
        <w:jc w:val="left"/>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硬件设备运行情况巡检</w:t>
      </w:r>
    </w:p>
    <w:p>
      <w:pPr>
        <w:pStyle w:val="2"/>
        <w:ind w:firstLine="420" w:firstLineChars="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了解和记录</w:t>
      </w:r>
      <w:r>
        <w:rPr>
          <w:rFonts w:hint="eastAsia" w:ascii="宋体" w:hAnsi="宋体" w:cs="宋体"/>
          <w:b w:val="0"/>
          <w:kern w:val="0"/>
          <w:sz w:val="24"/>
          <w:szCs w:val="24"/>
          <w:highlight w:val="none"/>
          <w:lang w:val="en-US" w:eastAsia="zh-CN" w:bidi="ar-SA"/>
        </w:rPr>
        <w:t>库房</w:t>
      </w:r>
      <w:r>
        <w:rPr>
          <w:rFonts w:hint="eastAsia" w:ascii="宋体" w:hAnsi="宋体" w:eastAsia="宋体" w:cs="宋体"/>
          <w:b w:val="0"/>
          <w:kern w:val="0"/>
          <w:sz w:val="24"/>
          <w:szCs w:val="24"/>
          <w:highlight w:val="none"/>
          <w:lang w:val="en-US" w:eastAsia="zh-CN" w:bidi="ar-SA"/>
        </w:rPr>
        <w:t>计算机设备的最新使用情况（包括新增设备情况、已有设备的维修情况、耗材的使用情况、关键设备的运行情况等），检测设备的运行情况，排除故障发生隐患，最大限度的降低计算机硬件设备的故障发生率，对一些经常出现故障的设备和关键设备要进行重点的检查。同时对一些已老化需淘汰的计算机设备进行记录并向</w:t>
      </w:r>
      <w:r>
        <w:rPr>
          <w:rFonts w:hint="eastAsia" w:ascii="宋体" w:hAnsi="宋体" w:cs="宋体"/>
          <w:b w:val="0"/>
          <w:kern w:val="0"/>
          <w:sz w:val="24"/>
          <w:szCs w:val="24"/>
          <w:highlight w:val="none"/>
          <w:lang w:val="en-US" w:eastAsia="zh-CN" w:bidi="ar-SA"/>
        </w:rPr>
        <w:t>甲方</w:t>
      </w:r>
      <w:r>
        <w:rPr>
          <w:rFonts w:hint="eastAsia" w:ascii="宋体" w:hAnsi="宋体" w:eastAsia="宋体" w:cs="宋体"/>
          <w:b w:val="0"/>
          <w:kern w:val="0"/>
          <w:sz w:val="24"/>
          <w:szCs w:val="24"/>
          <w:highlight w:val="none"/>
          <w:lang w:val="en-US" w:eastAsia="zh-CN" w:bidi="ar-SA"/>
        </w:rPr>
        <w:t>进行反映、提出备机建议。</w:t>
      </w:r>
    </w:p>
    <w:p>
      <w:pPr>
        <w:pStyle w:val="2"/>
        <w:jc w:val="left"/>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 系统及软件运行情况巡查</w:t>
      </w:r>
    </w:p>
    <w:p>
      <w:pPr>
        <w:pStyle w:val="2"/>
        <w:ind w:firstLine="480" w:firstLineChars="200"/>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系统的优化、数据的整理、常见故障的排除；计算机病毒的查、杀、防毒软件的定期升级；根据</w:t>
      </w:r>
      <w:r>
        <w:rPr>
          <w:rFonts w:hint="eastAsia" w:ascii="宋体" w:hAnsi="宋体" w:cs="宋体"/>
          <w:b w:val="0"/>
          <w:kern w:val="0"/>
          <w:sz w:val="24"/>
          <w:szCs w:val="24"/>
          <w:highlight w:val="none"/>
          <w:lang w:val="en-US" w:eastAsia="zh-CN" w:bidi="ar-SA"/>
        </w:rPr>
        <w:t>甲方</w:t>
      </w:r>
      <w:r>
        <w:rPr>
          <w:rFonts w:hint="eastAsia" w:ascii="宋体" w:hAnsi="宋体" w:eastAsia="宋体" w:cs="宋体"/>
          <w:b w:val="0"/>
          <w:kern w:val="0"/>
          <w:sz w:val="24"/>
          <w:szCs w:val="24"/>
          <w:highlight w:val="none"/>
          <w:lang w:val="en-US" w:eastAsia="zh-CN" w:bidi="ar-SA"/>
        </w:rPr>
        <w:t>要求提供系统软件的升级</w:t>
      </w:r>
      <w:r>
        <w:rPr>
          <w:rFonts w:hint="eastAsia" w:ascii="宋体" w:hAnsi="宋体" w:cs="宋体"/>
          <w:b w:val="0"/>
          <w:kern w:val="0"/>
          <w:sz w:val="24"/>
          <w:szCs w:val="24"/>
          <w:highlight w:val="none"/>
          <w:lang w:val="en-US" w:eastAsia="zh-CN" w:bidi="ar-SA"/>
        </w:rPr>
        <w:t>、</w:t>
      </w:r>
      <w:r>
        <w:rPr>
          <w:rFonts w:hint="eastAsia" w:ascii="宋体" w:hAnsi="宋体" w:eastAsia="宋体" w:cs="宋体"/>
          <w:b w:val="0"/>
          <w:kern w:val="0"/>
          <w:sz w:val="24"/>
          <w:szCs w:val="24"/>
          <w:highlight w:val="none"/>
          <w:lang w:val="en-US" w:eastAsia="zh-CN" w:bidi="ar-SA"/>
        </w:rPr>
        <w:t>系统数据的备份与恢复。</w:t>
      </w:r>
      <w:r>
        <w:rPr>
          <w:rFonts w:hint="eastAsia" w:ascii="宋体" w:hAnsi="宋体" w:cs="宋体"/>
          <w:b w:val="0"/>
          <w:kern w:val="0"/>
          <w:sz w:val="24"/>
          <w:szCs w:val="24"/>
          <w:highlight w:val="none"/>
          <w:lang w:val="en-US" w:eastAsia="zh-CN" w:bidi="ar-SA"/>
        </w:rPr>
        <w:t>乙方人员</w:t>
      </w:r>
      <w:r>
        <w:rPr>
          <w:rFonts w:hint="eastAsia" w:ascii="宋体" w:hAnsi="宋体" w:eastAsia="宋体" w:cs="宋体"/>
          <w:b w:val="0"/>
          <w:kern w:val="0"/>
          <w:sz w:val="24"/>
          <w:szCs w:val="24"/>
          <w:highlight w:val="none"/>
          <w:lang w:val="en-US" w:eastAsia="zh-CN" w:bidi="ar-SA"/>
        </w:rPr>
        <w:t>将利用母盘克隆、网络备份、存储备份等方法把重要部门的系统和数据安全备份，出现故障时在最短时间内进行数据的恢复。</w:t>
      </w:r>
    </w:p>
    <w:p>
      <w:pPr>
        <w:pStyle w:val="2"/>
        <w:rPr>
          <w:rFonts w:hint="eastAsia" w:ascii="宋体" w:hAnsi="宋体" w:eastAsia="宋体" w:cs="宋体"/>
          <w:b w:val="0"/>
          <w:kern w:val="0"/>
          <w:sz w:val="24"/>
          <w:szCs w:val="24"/>
          <w:highlight w:val="none"/>
          <w:lang w:val="en-US" w:eastAsia="zh-CN" w:bidi="ar-SA"/>
        </w:rPr>
      </w:pPr>
    </w:p>
    <w:p>
      <w:pPr>
        <w:rPr>
          <w:rFonts w:hint="eastAsia" w:ascii="宋体" w:hAnsi="宋体" w:eastAsia="宋体" w:cs="宋体"/>
          <w:b w:val="0"/>
          <w:kern w:val="0"/>
          <w:sz w:val="24"/>
          <w:szCs w:val="24"/>
          <w:highlight w:val="none"/>
          <w:lang w:val="en-US" w:eastAsia="zh-CN" w:bidi="ar-SA"/>
        </w:rPr>
      </w:pPr>
    </w:p>
    <w:p>
      <w:pPr>
        <w:spacing w:line="400" w:lineRule="exact"/>
        <w:rPr>
          <w:rFonts w:hint="default"/>
          <w:lang w:val="en-US" w:eastAsia="zh-CN"/>
        </w:rPr>
        <w:sectPr>
          <w:pgSz w:w="11906" w:h="16838"/>
          <w:pgMar w:top="1803" w:right="1440" w:bottom="1803" w:left="1440" w:header="851" w:footer="992" w:gutter="0"/>
          <w:cols w:space="720" w:num="1"/>
          <w:rtlGutter w:val="0"/>
          <w:docGrid w:linePitch="315" w:charSpace="0"/>
        </w:sectPr>
      </w:pPr>
      <w:r>
        <w:rPr>
          <w:rFonts w:hint="eastAsia" w:ascii="宋体" w:hAnsi="宋体" w:eastAsia="宋体" w:cs="宋体"/>
          <w:sz w:val="24"/>
          <w:szCs w:val="24"/>
          <w:lang w:val="en-US" w:eastAsia="zh-CN"/>
        </w:rPr>
        <w:t>注：根据附件八《技术要求》所述，运维周期为</w:t>
      </w:r>
      <w:r>
        <w:rPr>
          <w:rFonts w:hint="eastAsia" w:ascii="宋体" w:hAnsi="宋体" w:cs="宋体"/>
          <w:sz w:val="24"/>
          <w:szCs w:val="24"/>
          <w:lang w:val="en-US" w:eastAsia="zh-CN"/>
        </w:rPr>
        <w:t>每月</w:t>
      </w:r>
      <w:r>
        <w:rPr>
          <w:rFonts w:hint="eastAsia" w:ascii="宋体" w:hAnsi="宋体" w:eastAsia="宋体" w:cs="宋体"/>
          <w:sz w:val="24"/>
          <w:szCs w:val="24"/>
          <w:lang w:val="en-US" w:eastAsia="zh-CN"/>
        </w:rPr>
        <w:t>一次，每次保养需在7个日历日内完成。</w:t>
      </w:r>
    </w:p>
    <w:p>
      <w:pPr>
        <w:pStyle w:val="2"/>
        <w:jc w:val="left"/>
        <w:rPr>
          <w:rFonts w:hint="default" w:ascii="方正小标宋简体" w:hAnsi="方正小标宋简体" w:eastAsia="方正小标宋简体" w:cs="方正小标宋简体"/>
          <w:sz w:val="36"/>
          <w:szCs w:val="36"/>
          <w:lang w:val="en-US"/>
        </w:rPr>
      </w:pPr>
      <w:r>
        <w:rPr>
          <w:rFonts w:hint="eastAsia" w:ascii="黑体" w:hAnsi="宋体" w:eastAsia="黑体"/>
          <w:b w:val="0"/>
          <w:kern w:val="2"/>
          <w:sz w:val="30"/>
          <w:szCs w:val="30"/>
          <w:highlight w:val="none"/>
          <w:lang w:val="en-US" w:eastAsia="zh-CN" w:bidi="ar-SA"/>
        </w:rPr>
        <w:t>九、运维验收单</w:t>
      </w:r>
    </w:p>
    <w:tbl>
      <w:tblPr>
        <w:tblStyle w:val="33"/>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640"/>
        <w:gridCol w:w="1500"/>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599" w:type="dxa"/>
            <w:tcBorders>
              <w:top w:val="single" w:color="auto" w:sz="12" w:space="0"/>
              <w:left w:val="single" w:color="auto" w:sz="12" w:space="0"/>
            </w:tcBorders>
            <w:vAlign w:val="center"/>
          </w:tcPr>
          <w:p>
            <w:pPr>
              <w:widowControl/>
              <w:jc w:val="center"/>
              <w:rPr>
                <w:rFonts w:hint="eastAsia" w:eastAsia="宋体"/>
                <w:sz w:val="24"/>
                <w:lang w:eastAsia="zh-CN"/>
              </w:rPr>
            </w:pPr>
            <w:r>
              <w:rPr>
                <w:rFonts w:hint="eastAsia"/>
                <w:sz w:val="24"/>
                <w:lang w:val="en-US" w:eastAsia="zh-CN"/>
              </w:rPr>
              <w:t>甲方</w:t>
            </w:r>
          </w:p>
        </w:tc>
        <w:tc>
          <w:tcPr>
            <w:tcW w:w="6938" w:type="dxa"/>
            <w:gridSpan w:val="3"/>
            <w:tcBorders>
              <w:top w:val="single" w:color="auto" w:sz="12" w:space="0"/>
              <w:right w:val="single" w:color="auto" w:sz="12" w:space="0"/>
            </w:tcBorders>
            <w:vAlign w:val="center"/>
          </w:tcPr>
          <w:p>
            <w:pPr>
              <w:widowControl/>
              <w:jc w:val="center"/>
              <w:rPr>
                <w:rFonts w:hint="default" w:eastAsia="宋体"/>
                <w:sz w:val="24"/>
                <w:lang w:val="en-US" w:eastAsia="zh-CN"/>
              </w:rPr>
            </w:pPr>
            <w:r>
              <w:rPr>
                <w:rFonts w:hint="eastAsia"/>
                <w:sz w:val="24"/>
                <w:lang w:val="en-US" w:eastAsia="zh-CN"/>
              </w:rPr>
              <w:t>上海飞机客户服务有限公司（航材支援部）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599" w:type="dxa"/>
            <w:tcBorders>
              <w:top w:val="single" w:color="auto" w:sz="12" w:space="0"/>
              <w:left w:val="single" w:color="auto" w:sz="12" w:space="0"/>
            </w:tcBorders>
            <w:vAlign w:val="center"/>
          </w:tcPr>
          <w:p>
            <w:pPr>
              <w:widowControl/>
              <w:jc w:val="center"/>
              <w:rPr>
                <w:rFonts w:hint="default"/>
                <w:sz w:val="24"/>
                <w:lang w:val="en-US" w:eastAsia="zh-CN"/>
              </w:rPr>
            </w:pPr>
            <w:r>
              <w:rPr>
                <w:rFonts w:hint="eastAsia"/>
                <w:sz w:val="24"/>
                <w:lang w:val="en-US" w:eastAsia="zh-CN"/>
              </w:rPr>
              <w:t>乙方</w:t>
            </w:r>
          </w:p>
        </w:tc>
        <w:tc>
          <w:tcPr>
            <w:tcW w:w="6938" w:type="dxa"/>
            <w:gridSpan w:val="3"/>
            <w:tcBorders>
              <w:top w:val="single" w:color="auto" w:sz="12" w:space="0"/>
              <w:right w:val="single" w:color="auto" w:sz="12" w:space="0"/>
            </w:tcBorders>
            <w:vAlign w:val="center"/>
          </w:tcPr>
          <w:p>
            <w:pPr>
              <w:widowControl/>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599" w:type="dxa"/>
            <w:tcBorders>
              <w:left w:val="single" w:color="auto" w:sz="12" w:space="0"/>
            </w:tcBorders>
            <w:vAlign w:val="center"/>
          </w:tcPr>
          <w:p>
            <w:pPr>
              <w:widowControl/>
              <w:jc w:val="center"/>
              <w:rPr>
                <w:sz w:val="24"/>
              </w:rPr>
            </w:pPr>
            <w:r>
              <w:rPr>
                <w:sz w:val="24"/>
              </w:rPr>
              <w:t>资产名称</w:t>
            </w:r>
          </w:p>
        </w:tc>
        <w:tc>
          <w:tcPr>
            <w:tcW w:w="2640" w:type="dxa"/>
            <w:vAlign w:val="center"/>
          </w:tcPr>
          <w:p>
            <w:pPr>
              <w:widowControl/>
              <w:jc w:val="center"/>
              <w:rPr>
                <w:rFonts w:hint="default" w:eastAsia="宋体"/>
                <w:sz w:val="24"/>
                <w:lang w:val="en-US" w:eastAsia="zh-CN"/>
              </w:rPr>
            </w:pPr>
          </w:p>
        </w:tc>
        <w:tc>
          <w:tcPr>
            <w:tcW w:w="1500" w:type="dxa"/>
            <w:vAlign w:val="center"/>
          </w:tcPr>
          <w:p>
            <w:pPr>
              <w:widowControl/>
              <w:jc w:val="center"/>
              <w:rPr>
                <w:sz w:val="24"/>
              </w:rPr>
            </w:pPr>
            <w:r>
              <w:rPr>
                <w:sz w:val="24"/>
              </w:rPr>
              <w:t>资产编号</w:t>
            </w:r>
          </w:p>
        </w:tc>
        <w:tc>
          <w:tcPr>
            <w:tcW w:w="2798" w:type="dxa"/>
            <w:tcBorders>
              <w:right w:val="single" w:color="auto" w:sz="12" w:space="0"/>
            </w:tcBorders>
            <w:vAlign w:val="center"/>
          </w:tcPr>
          <w:p>
            <w:pPr>
              <w:widowControl/>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599" w:type="dxa"/>
            <w:tcBorders>
              <w:left w:val="single" w:color="auto" w:sz="12" w:space="0"/>
            </w:tcBorders>
            <w:vAlign w:val="center"/>
          </w:tcPr>
          <w:p>
            <w:pPr>
              <w:widowControl/>
              <w:jc w:val="center"/>
              <w:rPr>
                <w:rFonts w:hint="default" w:eastAsia="宋体"/>
                <w:sz w:val="24"/>
                <w:lang w:val="en-US" w:eastAsia="zh-CN"/>
              </w:rPr>
            </w:pPr>
            <w:r>
              <w:rPr>
                <w:rFonts w:hint="eastAsia"/>
                <w:sz w:val="24"/>
                <w:lang w:val="en-US" w:eastAsia="zh-CN"/>
              </w:rPr>
              <w:t>报修日期</w:t>
            </w:r>
          </w:p>
        </w:tc>
        <w:tc>
          <w:tcPr>
            <w:tcW w:w="2640" w:type="dxa"/>
            <w:vAlign w:val="center"/>
          </w:tcPr>
          <w:p>
            <w:pPr>
              <w:widowControl/>
              <w:jc w:val="center"/>
              <w:rPr>
                <w:rFonts w:hint="default" w:eastAsia="宋体"/>
                <w:sz w:val="24"/>
                <w:lang w:val="en-US" w:eastAsia="zh-CN"/>
              </w:rPr>
            </w:pPr>
          </w:p>
        </w:tc>
        <w:tc>
          <w:tcPr>
            <w:tcW w:w="1500" w:type="dxa"/>
            <w:vAlign w:val="center"/>
          </w:tcPr>
          <w:p>
            <w:pPr>
              <w:widowControl/>
              <w:jc w:val="center"/>
              <w:rPr>
                <w:rFonts w:hint="default" w:eastAsia="宋体"/>
                <w:sz w:val="24"/>
                <w:lang w:val="en-US" w:eastAsia="zh-CN"/>
              </w:rPr>
            </w:pPr>
            <w:r>
              <w:rPr>
                <w:rFonts w:hint="eastAsia"/>
                <w:sz w:val="24"/>
                <w:lang w:val="en-US" w:eastAsia="zh-CN"/>
              </w:rPr>
              <w:t>运维日期</w:t>
            </w:r>
          </w:p>
        </w:tc>
        <w:tc>
          <w:tcPr>
            <w:tcW w:w="2798" w:type="dxa"/>
            <w:tcBorders>
              <w:right w:val="single" w:color="auto" w:sz="12" w:space="0"/>
            </w:tcBorders>
            <w:vAlign w:val="center"/>
          </w:tcPr>
          <w:p>
            <w:pPr>
              <w:widowControl/>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6" w:hRule="atLeast"/>
          <w:jc w:val="center"/>
        </w:trPr>
        <w:tc>
          <w:tcPr>
            <w:tcW w:w="1599" w:type="dxa"/>
            <w:tcBorders>
              <w:left w:val="single" w:color="auto" w:sz="12" w:space="0"/>
            </w:tcBorders>
            <w:vAlign w:val="center"/>
          </w:tcPr>
          <w:p>
            <w:pPr>
              <w:widowControl/>
              <w:jc w:val="center"/>
              <w:rPr>
                <w:rFonts w:hint="default" w:eastAsia="宋体"/>
                <w:sz w:val="24"/>
                <w:lang w:val="en-US" w:eastAsia="zh-CN"/>
              </w:rPr>
            </w:pPr>
            <w:r>
              <w:rPr>
                <w:rFonts w:hint="eastAsia"/>
                <w:sz w:val="24"/>
                <w:lang w:val="en-US" w:eastAsia="zh-CN"/>
              </w:rPr>
              <w:t>运维明细</w:t>
            </w:r>
          </w:p>
        </w:tc>
        <w:tc>
          <w:tcPr>
            <w:tcW w:w="6938" w:type="dxa"/>
            <w:gridSpan w:val="3"/>
            <w:tcBorders>
              <w:right w:val="single" w:color="auto" w:sz="12" w:space="0"/>
            </w:tcBorders>
            <w:vAlign w:val="center"/>
          </w:tcPr>
          <w:p>
            <w:pPr>
              <w:widowControl/>
              <w:jc w:val="center"/>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599" w:type="dxa"/>
            <w:tcBorders>
              <w:left w:val="single" w:color="auto" w:sz="12" w:space="0"/>
            </w:tcBorders>
            <w:vAlign w:val="center"/>
          </w:tcPr>
          <w:p>
            <w:pPr>
              <w:widowControl/>
              <w:jc w:val="center"/>
              <w:rPr>
                <w:sz w:val="24"/>
              </w:rPr>
            </w:pPr>
            <w:r>
              <w:rPr>
                <w:sz w:val="24"/>
              </w:rPr>
              <w:t>验收意见</w:t>
            </w:r>
          </w:p>
        </w:tc>
        <w:tc>
          <w:tcPr>
            <w:tcW w:w="6938" w:type="dxa"/>
            <w:gridSpan w:val="3"/>
            <w:tcBorders>
              <w:right w:val="single" w:color="auto" w:sz="12" w:space="0"/>
            </w:tcBorders>
            <w:vAlign w:val="center"/>
          </w:tcPr>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tc>
      </w:tr>
    </w:tbl>
    <w:p/>
    <w:p/>
    <w:p/>
    <w:p>
      <w:pPr>
        <w:widowControl/>
        <w:ind w:left="2520" w:leftChars="0" w:firstLine="420" w:firstLineChars="0"/>
        <w:jc w:val="center"/>
        <w:rPr>
          <w:rFonts w:hint="eastAsia"/>
          <w:sz w:val="24"/>
          <w:lang w:val="en-US" w:eastAsia="zh-CN"/>
        </w:rPr>
      </w:pPr>
      <w:r>
        <w:rPr>
          <w:rFonts w:hint="eastAsia"/>
          <w:sz w:val="24"/>
          <w:lang w:val="en-US" w:eastAsia="zh-CN"/>
        </w:rPr>
        <w:t>甲方签字人员：</w:t>
      </w:r>
    </w:p>
    <w:p>
      <w:pPr>
        <w:widowControl/>
        <w:jc w:val="center"/>
        <w:rPr>
          <w:rFonts w:hint="eastAsia"/>
          <w:sz w:val="24"/>
          <w:lang w:val="en-US" w:eastAsia="zh-CN"/>
        </w:rPr>
      </w:pPr>
    </w:p>
    <w:p>
      <w:pPr>
        <w:widowControl/>
        <w:jc w:val="center"/>
        <w:rPr>
          <w:rFonts w:hint="eastAsia"/>
          <w:sz w:val="24"/>
          <w:lang w:val="en-US" w:eastAsia="zh-CN"/>
        </w:rPr>
      </w:pPr>
    </w:p>
    <w:p>
      <w:pPr>
        <w:widowControl/>
        <w:ind w:left="2520" w:leftChars="0" w:firstLine="420" w:firstLineChars="0"/>
        <w:jc w:val="center"/>
        <w:rPr>
          <w:rFonts w:hint="eastAsia"/>
          <w:sz w:val="24"/>
          <w:lang w:val="en-US" w:eastAsia="zh-CN"/>
        </w:rPr>
      </w:pPr>
      <w:r>
        <w:rPr>
          <w:rFonts w:hint="eastAsia"/>
          <w:sz w:val="24"/>
          <w:lang w:val="en-US" w:eastAsia="zh-CN"/>
        </w:rPr>
        <w:t>乙方签字人员：</w:t>
      </w:r>
    </w:p>
    <w:p>
      <w:pPr>
        <w:rPr>
          <w:rFonts w:hint="default"/>
          <w:lang w:val="en-US" w:eastAsia="zh-CN"/>
        </w:rPr>
      </w:pPr>
    </w:p>
    <w:p>
      <w:pPr>
        <w:pStyle w:val="2"/>
        <w:numPr>
          <w:ilvl w:val="0"/>
          <w:numId w:val="17"/>
        </w:numPr>
        <w:jc w:val="both"/>
        <w:rPr>
          <w:rFonts w:hint="default"/>
          <w:b w:val="0"/>
          <w:bCs/>
          <w:lang w:val="en-US" w:eastAsia="zh-CN"/>
        </w:rPr>
      </w:pPr>
      <w:r>
        <w:rPr>
          <w:rFonts w:hint="eastAsia"/>
          <w:b/>
          <w:bCs w:val="0"/>
          <w:lang w:val="en-US" w:eastAsia="zh-CN"/>
        </w:rPr>
        <w:t>案例解决方案</w:t>
      </w:r>
    </w:p>
    <w:p>
      <w:pPr>
        <w:pStyle w:val="2"/>
        <w:numPr>
          <w:ilvl w:val="0"/>
          <w:numId w:val="18"/>
        </w:numPr>
        <w:jc w:val="both"/>
        <w:rPr>
          <w:rFonts w:hint="eastAsia" w:ascii="宋体" w:hAnsi="宋体" w:eastAsia="宋体" w:cs="宋体"/>
          <w:b w:val="0"/>
          <w:bCs/>
          <w:sz w:val="24"/>
          <w:szCs w:val="16"/>
          <w:lang w:val="en-US" w:eastAsia="zh-CN"/>
        </w:rPr>
      </w:pPr>
      <w:r>
        <w:rPr>
          <w:rFonts w:hint="eastAsia" w:ascii="宋体" w:hAnsi="宋体" w:eastAsia="宋体" w:cs="宋体"/>
          <w:b w:val="0"/>
          <w:bCs/>
          <w:sz w:val="24"/>
          <w:szCs w:val="16"/>
          <w:lang w:val="en-US" w:eastAsia="zh-CN"/>
        </w:rPr>
        <w:t>堆垛机程序修改</w:t>
      </w:r>
    </w:p>
    <w:p>
      <w:pPr>
        <w:widowControl w:val="0"/>
        <w:numPr>
          <w:ilvl w:val="0"/>
          <w:numId w:val="0"/>
        </w:numPr>
        <w:ind w:firstLine="480" w:firstLineChars="200"/>
        <w:jc w:val="both"/>
        <w:rPr>
          <w:rFonts w:hint="eastAsia" w:ascii="宋体" w:hAnsi="宋体" w:eastAsia="宋体" w:cs="宋体"/>
          <w:b w:val="0"/>
          <w:bCs/>
          <w:kern w:val="0"/>
          <w:sz w:val="24"/>
          <w:szCs w:val="16"/>
          <w:lang w:val="en-US" w:eastAsia="zh-CN" w:bidi="ar-SA"/>
        </w:rPr>
      </w:pPr>
      <w:r>
        <w:rPr>
          <w:rFonts w:hint="eastAsia" w:ascii="宋体" w:hAnsi="宋体" w:eastAsia="宋体" w:cs="宋体"/>
          <w:b w:val="0"/>
          <w:bCs/>
          <w:kern w:val="0"/>
          <w:sz w:val="24"/>
          <w:szCs w:val="16"/>
          <w:lang w:val="en-US" w:eastAsia="zh-CN" w:bidi="ar-SA"/>
        </w:rPr>
        <w:t>根据我司图纸以及电路图，能够对现有PLC/HMI控制程序进行修改，并提供</w:t>
      </w:r>
      <w:r>
        <w:rPr>
          <w:rFonts w:hint="eastAsia" w:ascii="宋体" w:hAnsi="宋体" w:eastAsia="宋体" w:cs="宋体"/>
          <w:b w:val="0"/>
          <w:bCs/>
          <w:kern w:val="0"/>
          <w:sz w:val="24"/>
          <w:szCs w:val="16"/>
          <w:highlight w:val="none"/>
          <w:lang w:val="en-US" w:eastAsia="zh-CN" w:bidi="ar-SA"/>
        </w:rPr>
        <w:t>源</w:t>
      </w:r>
      <w:r>
        <w:rPr>
          <w:rFonts w:hint="eastAsia" w:ascii="宋体" w:hAnsi="宋体" w:eastAsia="宋体" w:cs="宋体"/>
          <w:b w:val="0"/>
          <w:bCs/>
          <w:kern w:val="0"/>
          <w:sz w:val="24"/>
          <w:szCs w:val="16"/>
          <w:lang w:val="en-US" w:eastAsia="zh-CN" w:bidi="ar-SA"/>
        </w:rPr>
        <w:t>程序。</w:t>
      </w:r>
    </w:p>
    <w:p>
      <w:pPr>
        <w:widowControl w:val="0"/>
        <w:numPr>
          <w:ilvl w:val="0"/>
          <w:numId w:val="0"/>
        </w:numPr>
        <w:ind w:firstLine="480" w:firstLineChars="200"/>
        <w:jc w:val="both"/>
        <w:rPr>
          <w:rFonts w:hint="eastAsia" w:ascii="宋体" w:hAnsi="宋体" w:eastAsia="宋体" w:cs="宋体"/>
          <w:b w:val="0"/>
          <w:bCs/>
          <w:kern w:val="0"/>
          <w:sz w:val="24"/>
          <w:szCs w:val="16"/>
          <w:lang w:val="en-US" w:eastAsia="zh-CN" w:bidi="ar-SA"/>
        </w:rPr>
      </w:pPr>
      <w:r>
        <w:rPr>
          <w:rFonts w:hint="eastAsia" w:ascii="宋体" w:hAnsi="宋体" w:eastAsia="宋体" w:cs="宋体"/>
          <w:b w:val="0"/>
          <w:bCs/>
          <w:kern w:val="0"/>
          <w:sz w:val="24"/>
          <w:szCs w:val="16"/>
          <w:lang w:val="en-US" w:eastAsia="zh-CN" w:bidi="ar-SA"/>
        </w:rPr>
        <w:t>目前，</w:t>
      </w:r>
      <w:r>
        <w:rPr>
          <w:rFonts w:hint="eastAsia" w:ascii="宋体" w:hAnsi="宋体" w:eastAsia="宋体" w:cs="宋体"/>
          <w:b w:val="0"/>
          <w:bCs/>
          <w:kern w:val="0"/>
          <w:sz w:val="24"/>
          <w:szCs w:val="16"/>
          <w:highlight w:val="none"/>
          <w:lang w:val="en-US" w:eastAsia="zh-CN" w:bidi="ar-SA"/>
        </w:rPr>
        <w:t>原</w:t>
      </w:r>
      <w:r>
        <w:rPr>
          <w:rFonts w:hint="eastAsia" w:ascii="宋体" w:hAnsi="宋体" w:eastAsia="宋体" w:cs="宋体"/>
          <w:b w:val="0"/>
          <w:bCs/>
          <w:kern w:val="0"/>
          <w:sz w:val="24"/>
          <w:szCs w:val="16"/>
          <w:lang w:val="en-US" w:eastAsia="zh-CN" w:bidi="ar-SA"/>
        </w:rPr>
        <w:t>集成商对PLC程序进行加密，需要响应单位进行密码破解，并对程序进行相应注释，交于我司备案，便于后期维修或者改造升级。</w:t>
      </w:r>
    </w:p>
    <w:p>
      <w:pPr>
        <w:pStyle w:val="2"/>
        <w:numPr>
          <w:ilvl w:val="0"/>
          <w:numId w:val="18"/>
        </w:numPr>
        <w:ind w:left="0" w:leftChars="0" w:firstLine="0" w:firstLineChars="0"/>
        <w:jc w:val="both"/>
        <w:rPr>
          <w:rFonts w:hint="eastAsia" w:ascii="宋体" w:hAnsi="宋体" w:eastAsia="宋体" w:cs="宋体"/>
          <w:b w:val="0"/>
          <w:bCs/>
          <w:kern w:val="0"/>
          <w:sz w:val="24"/>
          <w:szCs w:val="16"/>
          <w:lang w:val="en-US" w:eastAsia="zh-CN" w:bidi="ar-SA"/>
        </w:rPr>
      </w:pPr>
      <w:r>
        <w:rPr>
          <w:rFonts w:hint="eastAsia" w:ascii="宋体" w:hAnsi="宋体" w:eastAsia="宋体" w:cs="宋体"/>
          <w:b w:val="0"/>
          <w:bCs/>
          <w:kern w:val="0"/>
          <w:sz w:val="24"/>
          <w:szCs w:val="16"/>
          <w:lang w:val="en-US" w:eastAsia="zh-CN" w:bidi="ar-SA"/>
        </w:rPr>
        <w:t>WCS系统二次开发</w:t>
      </w:r>
    </w:p>
    <w:p>
      <w:pPr>
        <w:widowControl w:val="0"/>
        <w:numPr>
          <w:ilvl w:val="0"/>
          <w:numId w:val="0"/>
        </w:numPr>
        <w:ind w:firstLine="480" w:firstLineChars="200"/>
        <w:jc w:val="both"/>
        <w:rPr>
          <w:rFonts w:hint="default" w:ascii="宋体" w:hAnsi="宋体" w:eastAsia="宋体" w:cs="宋体"/>
          <w:b w:val="0"/>
          <w:bCs/>
          <w:kern w:val="0"/>
          <w:sz w:val="24"/>
          <w:szCs w:val="16"/>
          <w:lang w:val="en-US" w:eastAsia="zh-CN" w:bidi="ar-SA"/>
        </w:rPr>
      </w:pPr>
      <w:r>
        <w:rPr>
          <w:rFonts w:hint="eastAsia" w:ascii="宋体" w:hAnsi="宋体" w:eastAsia="宋体" w:cs="宋体"/>
          <w:b w:val="0"/>
          <w:bCs/>
          <w:kern w:val="0"/>
          <w:sz w:val="24"/>
          <w:szCs w:val="16"/>
          <w:lang w:val="en-US" w:eastAsia="zh-CN" w:bidi="ar-SA"/>
        </w:rPr>
        <w:t>目前，库房内</w:t>
      </w:r>
      <w:r>
        <w:rPr>
          <w:rFonts w:hint="eastAsia" w:ascii="宋体" w:hAnsi="宋体" w:eastAsia="宋体" w:cs="宋体"/>
          <w:b w:val="0"/>
          <w:bCs/>
          <w:kern w:val="0"/>
          <w:sz w:val="24"/>
          <w:szCs w:val="16"/>
          <w:highlight w:val="none"/>
          <w:lang w:val="en-US" w:eastAsia="zh-CN" w:bidi="ar-SA"/>
        </w:rPr>
        <w:t>上位机</w:t>
      </w:r>
      <w:r>
        <w:rPr>
          <w:rFonts w:hint="eastAsia" w:ascii="宋体" w:hAnsi="宋体" w:eastAsia="宋体" w:cs="宋体"/>
          <w:b w:val="0"/>
          <w:bCs/>
          <w:kern w:val="0"/>
          <w:sz w:val="24"/>
          <w:szCs w:val="16"/>
          <w:lang w:val="en-US" w:eastAsia="zh-CN" w:bidi="ar-SA"/>
        </w:rPr>
        <w:t>系统采用西门子WICC进行上位机开发，响应单位需要对现有WCS进行二次开发，使上位机功能不断完善。</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sectPr>
          <w:pgSz w:w="11906" w:h="16838"/>
          <w:pgMar w:top="1440" w:right="1800" w:bottom="1440" w:left="1800" w:header="851" w:footer="992" w:gutter="0"/>
          <w:cols w:space="720" w:num="1"/>
          <w:docGrid w:type="lines" w:linePitch="312" w:charSpace="0"/>
        </w:sectPr>
      </w:pPr>
    </w:p>
    <w:p>
      <w:pPr>
        <w:pStyle w:val="2"/>
        <w:pageBreakBefore w:val="0"/>
        <w:numPr>
          <w:ilvl w:val="0"/>
          <w:numId w:val="0"/>
        </w:numPr>
        <w:kinsoku/>
        <w:wordWrap/>
        <w:overflowPunct/>
        <w:topLinePunct w:val="0"/>
        <w:autoSpaceDE/>
        <w:autoSpaceDN/>
        <w:bidi w:val="0"/>
        <w:snapToGrid/>
        <w:spacing w:line="400" w:lineRule="exact"/>
        <w:jc w:val="both"/>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十一、项目基本架构</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25" w:name="_Toc15474768"/>
      <w:bookmarkStart w:id="26" w:name="_Toc360603723"/>
      <w:bookmarkStart w:id="27" w:name="_Toc51398829"/>
      <w:bookmarkStart w:id="28" w:name="_Toc232686816"/>
      <w:bookmarkStart w:id="29" w:name="_Toc48094175"/>
      <w:r>
        <w:rPr>
          <w:rFonts w:hint="eastAsia" w:ascii="宋体" w:hAnsi="宋体" w:eastAsia="宋体" w:cs="宋体"/>
          <w:sz w:val="24"/>
          <w:szCs w:val="24"/>
        </w:rPr>
        <w:t>1.1 概述</w:t>
      </w:r>
      <w:bookmarkEnd w:id="25"/>
      <w:bookmarkEnd w:id="26"/>
      <w:bookmarkEnd w:id="27"/>
      <w:bookmarkEnd w:id="28"/>
      <w:bookmarkEnd w:id="29"/>
    </w:p>
    <w:p>
      <w:pPr>
        <w:pStyle w:val="37"/>
        <w:pageBreakBefore w:val="0"/>
        <w:kinsoku/>
        <w:wordWrap/>
        <w:overflowPunct/>
        <w:topLinePunct w:val="0"/>
        <w:autoSpaceDE/>
        <w:autoSpaceDN/>
        <w:bidi w:val="0"/>
        <w:adjustRightInd/>
        <w:snapToGrid/>
        <w:spacing w:before="156" w:beforeLines="50" w:line="400" w:lineRule="exact"/>
        <w:ind w:firstLine="480" w:firstLineChars="200"/>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计算机系统是自动化物流配送系统中的灵魂和中枢。要完成物流系统中的各种特定的任务，依靠的是计算机系统与自动化系统中各技术部件的有机结合。</w:t>
      </w:r>
    </w:p>
    <w:p>
      <w:pPr>
        <w:pageBreakBefore w:val="0"/>
        <w:kinsoku/>
        <w:wordWrap/>
        <w:overflowPunct/>
        <w:topLinePunct w:val="0"/>
        <w:autoSpaceDE/>
        <w:autoSpaceDN/>
        <w:bidi w:val="0"/>
        <w:adjustRightInd/>
        <w:snapToGrid/>
        <w:spacing w:before="156" w:beforeLines="5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上海飞机客户服务有限公司</w:t>
      </w:r>
      <w:r>
        <w:rPr>
          <w:rFonts w:hint="eastAsia" w:ascii="宋体" w:hAnsi="宋体" w:eastAsia="宋体" w:cs="宋体"/>
          <w:sz w:val="24"/>
          <w:szCs w:val="24"/>
        </w:rPr>
        <w:t>物流监控系统WCS，其目的是集成化地管理、协调和调度各物流设备或物流系统，共同完成有关物流活动。WCS上接WMS，下联多个物流设备（堆垛机，出库台等）和物流系统，在整个物流环节中起着重要的纽带作用。WCS及时与WMS等系统交换信息，获取物流任务，指挥各物流设备执行WMS系统所下达的物流任务，及时获取各设备执行结果，并将执行结果反馈给WMS。</w:t>
      </w:r>
    </w:p>
    <w:tbl>
      <w:tblPr>
        <w:tblStyle w:val="33"/>
        <w:tblpPr w:leftFromText="180" w:rightFromText="180" w:vertAnchor="text" w:horzAnchor="margin" w:tblpY="22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2943"/>
        <w:gridCol w:w="99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54" w:type="dxa"/>
            <w:tcBorders>
              <w:bottom w:val="single" w:color="auto" w:sz="4" w:space="0"/>
            </w:tcBorders>
            <w:shd w:val="clear" w:color="auto" w:fill="FF0000"/>
            <w:vAlign w:val="center"/>
          </w:tcPr>
          <w:p>
            <w:pPr>
              <w:pStyle w:val="26"/>
              <w:pageBreakBefore w:val="0"/>
              <w:kinsoku/>
              <w:wordWrap/>
              <w:overflowPunct/>
              <w:topLinePunct w:val="0"/>
              <w:autoSpaceDE/>
              <w:autoSpaceDN/>
              <w:bidi w:val="0"/>
              <w:adjustRightInd/>
              <w:snapToGrid/>
              <w:spacing w:before="120" w:after="120" w:line="400" w:lineRule="exact"/>
              <w:ind w:left="1680" w:leftChars="800" w:firstLine="562"/>
              <w:jc w:val="center"/>
              <w:textAlignment w:val="auto"/>
              <w:rPr>
                <w:rFonts w:hint="eastAsia" w:ascii="宋体" w:hAnsi="宋体" w:eastAsia="宋体" w:cs="宋体"/>
                <w:b/>
                <w:sz w:val="24"/>
                <w:szCs w:val="24"/>
              </w:rPr>
            </w:pPr>
            <w:r>
              <w:rPr>
                <w:rFonts w:hint="eastAsia" w:ascii="宋体" w:hAnsi="宋体" w:eastAsia="宋体" w:cs="宋体"/>
                <w:b/>
                <w:sz w:val="24"/>
                <w:szCs w:val="24"/>
              </w:rPr>
              <w:t>A</w:t>
            </w:r>
          </w:p>
        </w:tc>
        <w:tc>
          <w:tcPr>
            <w:tcW w:w="7338" w:type="dxa"/>
            <w:gridSpan w:val="3"/>
            <w:tcBorders>
              <w:bottom w:val="single" w:color="auto" w:sz="4" w:space="0"/>
            </w:tcBorders>
            <w:shd w:val="clear" w:color="auto" w:fill="00FF00"/>
            <w:vAlign w:val="center"/>
          </w:tcPr>
          <w:p>
            <w:pPr>
              <w:pageBreakBefore w:val="0"/>
              <w:kinsoku/>
              <w:wordWrap/>
              <w:overflowPunct/>
              <w:topLinePunct w:val="0"/>
              <w:autoSpaceDE/>
              <w:autoSpaceDN/>
              <w:bidi w:val="0"/>
              <w:adjustRightInd/>
              <w:snapToGrid/>
              <w:spacing w:before="120" w:after="120" w:line="400" w:lineRule="exact"/>
              <w:ind w:left="-90" w:leftChars="-43"/>
              <w:jc w:val="center"/>
              <w:textAlignment w:val="auto"/>
              <w:rPr>
                <w:rFonts w:hint="eastAsia" w:ascii="宋体" w:hAnsi="宋体" w:eastAsia="宋体" w:cs="宋体"/>
                <w:sz w:val="24"/>
                <w:szCs w:val="24"/>
              </w:rPr>
            </w:pPr>
            <w:r>
              <w:rPr>
                <w:rFonts w:hint="eastAsia" w:ascii="宋体" w:hAnsi="宋体" w:eastAsia="宋体" w:cs="宋体"/>
                <w:b/>
                <w:sz w:val="24"/>
                <w:szCs w:val="24"/>
              </w:rPr>
              <w:t>ERP系统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54" w:type="dxa"/>
            <w:tcBorders>
              <w:bottom w:val="single" w:color="auto" w:sz="4" w:space="0"/>
            </w:tcBorders>
            <w:shd w:val="clear" w:color="auto" w:fill="FF0000"/>
            <w:vAlign w:val="center"/>
          </w:tcPr>
          <w:p>
            <w:pPr>
              <w:pStyle w:val="26"/>
              <w:pageBreakBefore w:val="0"/>
              <w:kinsoku/>
              <w:wordWrap/>
              <w:overflowPunct/>
              <w:topLinePunct w:val="0"/>
              <w:autoSpaceDE/>
              <w:autoSpaceDN/>
              <w:bidi w:val="0"/>
              <w:adjustRightInd/>
              <w:snapToGrid/>
              <w:spacing w:before="120" w:after="120" w:line="400" w:lineRule="exact"/>
              <w:ind w:left="1680" w:leftChars="800" w:firstLine="442"/>
              <w:jc w:val="center"/>
              <w:textAlignment w:val="auto"/>
              <w:rPr>
                <w:rFonts w:hint="eastAsia" w:ascii="宋体" w:hAnsi="宋体" w:eastAsia="宋体" w:cs="宋体"/>
                <w:b/>
                <w:sz w:val="24"/>
                <w:szCs w:val="24"/>
              </w:rPr>
            </w:pPr>
            <w:r>
              <w:rPr>
                <w:rFonts w:hint="eastAsia" w:ascii="宋体" w:hAnsi="宋体" w:eastAsia="宋体" w:cs="宋体"/>
                <w:b/>
                <w:sz w:val="24"/>
                <w:szCs w:val="24"/>
              </w:rPr>
              <w:t>B</w:t>
            </w:r>
          </w:p>
        </w:tc>
        <w:tc>
          <w:tcPr>
            <w:tcW w:w="7338" w:type="dxa"/>
            <w:gridSpan w:val="3"/>
            <w:tcBorders>
              <w:bottom w:val="single" w:color="auto" w:sz="4" w:space="0"/>
            </w:tcBorders>
            <w:shd w:val="clear" w:color="auto" w:fill="00FF00"/>
            <w:vAlign w:val="center"/>
          </w:tcPr>
          <w:p>
            <w:pPr>
              <w:pageBreakBefore w:val="0"/>
              <w:kinsoku/>
              <w:wordWrap/>
              <w:overflowPunct/>
              <w:topLinePunct w:val="0"/>
              <w:autoSpaceDE/>
              <w:autoSpaceDN/>
              <w:bidi w:val="0"/>
              <w:adjustRightInd/>
              <w:snapToGrid/>
              <w:spacing w:before="120" w:after="120" w:line="400" w:lineRule="exact"/>
              <w:ind w:left="-90" w:leftChars="-43"/>
              <w:jc w:val="center"/>
              <w:textAlignment w:val="auto"/>
              <w:rPr>
                <w:rFonts w:hint="eastAsia" w:ascii="宋体" w:hAnsi="宋体" w:eastAsia="宋体" w:cs="宋体"/>
                <w:sz w:val="24"/>
                <w:szCs w:val="24"/>
              </w:rPr>
            </w:pPr>
            <w:r>
              <w:rPr>
                <w:rFonts w:hint="eastAsia" w:ascii="宋体" w:hAnsi="宋体" w:eastAsia="宋体" w:cs="宋体"/>
                <w:b/>
                <w:sz w:val="24"/>
                <w:szCs w:val="24"/>
              </w:rPr>
              <w:t>WMS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454" w:type="dxa"/>
            <w:tcBorders>
              <w:bottom w:val="single" w:color="auto" w:sz="4" w:space="0"/>
            </w:tcBorders>
            <w:shd w:val="clear" w:color="auto" w:fill="0000FF"/>
            <w:vAlign w:val="center"/>
          </w:tcPr>
          <w:p>
            <w:pPr>
              <w:pStyle w:val="26"/>
              <w:pageBreakBefore w:val="0"/>
              <w:kinsoku/>
              <w:wordWrap/>
              <w:overflowPunct/>
              <w:topLinePunct w:val="0"/>
              <w:autoSpaceDE/>
              <w:autoSpaceDN/>
              <w:bidi w:val="0"/>
              <w:adjustRightInd/>
              <w:snapToGrid/>
              <w:spacing w:before="120" w:after="120" w:line="400" w:lineRule="exact"/>
              <w:ind w:left="1680" w:leftChars="800" w:firstLine="442"/>
              <w:jc w:val="center"/>
              <w:textAlignment w:val="auto"/>
              <w:rPr>
                <w:rFonts w:hint="eastAsia" w:ascii="宋体" w:hAnsi="宋体" w:eastAsia="宋体" w:cs="宋体"/>
                <w:b/>
                <w:sz w:val="24"/>
                <w:szCs w:val="24"/>
                <w:highlight w:val="blue"/>
              </w:rPr>
            </w:pPr>
            <w:r>
              <w:rPr>
                <w:rFonts w:hint="eastAsia" w:ascii="宋体" w:hAnsi="宋体" w:eastAsia="宋体" w:cs="宋体"/>
                <w:b/>
                <w:sz w:val="24"/>
                <w:szCs w:val="24"/>
                <w:highlight w:val="blue"/>
              </w:rPr>
              <w:t>C</w:t>
            </w:r>
          </w:p>
        </w:tc>
        <w:tc>
          <w:tcPr>
            <w:tcW w:w="7338" w:type="dxa"/>
            <w:gridSpan w:val="3"/>
            <w:tcBorders>
              <w:bottom w:val="single" w:color="auto" w:sz="4" w:space="0"/>
            </w:tcBorders>
            <w:shd w:val="clear" w:color="auto" w:fill="C0C0C0"/>
            <w:vAlign w:val="center"/>
          </w:tcPr>
          <w:p>
            <w:pPr>
              <w:pageBreakBefore w:val="0"/>
              <w:kinsoku/>
              <w:wordWrap/>
              <w:overflowPunct/>
              <w:topLinePunct w:val="0"/>
              <w:autoSpaceDE/>
              <w:autoSpaceDN/>
              <w:bidi w:val="0"/>
              <w:adjustRightInd/>
              <w:snapToGrid/>
              <w:spacing w:before="120" w:after="120" w:line="400" w:lineRule="exact"/>
              <w:ind w:left="-90" w:leftChars="-43"/>
              <w:jc w:val="center"/>
              <w:textAlignment w:val="auto"/>
              <w:rPr>
                <w:rFonts w:hint="eastAsia" w:ascii="宋体" w:hAnsi="宋体" w:eastAsia="宋体" w:cs="宋体"/>
                <w:sz w:val="24"/>
                <w:szCs w:val="24"/>
              </w:rPr>
            </w:pPr>
            <w:r>
              <w:rPr>
                <w:rFonts w:hint="eastAsia" w:ascii="宋体" w:hAnsi="宋体" w:eastAsia="宋体" w:cs="宋体"/>
                <w:b/>
                <w:sz w:val="24"/>
                <w:szCs w:val="24"/>
              </w:rPr>
              <w:t>综合接口WCS++-IFS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54" w:type="dxa"/>
            <w:shd w:val="clear" w:color="auto" w:fill="0000FF"/>
            <w:vAlign w:val="center"/>
          </w:tcPr>
          <w:p>
            <w:pPr>
              <w:pStyle w:val="26"/>
              <w:pageBreakBefore w:val="0"/>
              <w:kinsoku/>
              <w:wordWrap/>
              <w:overflowPunct/>
              <w:topLinePunct w:val="0"/>
              <w:autoSpaceDE/>
              <w:autoSpaceDN/>
              <w:bidi w:val="0"/>
              <w:adjustRightInd/>
              <w:snapToGrid/>
              <w:spacing w:before="120" w:after="120" w:line="400" w:lineRule="exact"/>
              <w:ind w:left="1680" w:leftChars="800" w:firstLine="442"/>
              <w:jc w:val="center"/>
              <w:textAlignment w:val="auto"/>
              <w:rPr>
                <w:rFonts w:hint="eastAsia" w:ascii="宋体" w:hAnsi="宋体" w:eastAsia="宋体" w:cs="宋体"/>
                <w:b/>
                <w:sz w:val="24"/>
                <w:szCs w:val="24"/>
              </w:rPr>
            </w:pPr>
            <w:r>
              <w:rPr>
                <w:rFonts w:hint="eastAsia" w:ascii="宋体" w:hAnsi="宋体" w:eastAsia="宋体" w:cs="宋体"/>
                <w:b/>
                <w:sz w:val="24"/>
                <w:szCs w:val="24"/>
              </w:rPr>
              <w:t>D</w:t>
            </w:r>
          </w:p>
        </w:tc>
        <w:tc>
          <w:tcPr>
            <w:tcW w:w="2943" w:type="dxa"/>
            <w:tcBorders>
              <w:bottom w:val="single" w:color="auto" w:sz="4" w:space="0"/>
              <w:right w:val="single" w:color="auto" w:sz="4" w:space="0"/>
            </w:tcBorders>
            <w:shd w:val="clear" w:color="auto" w:fill="CCCCCC"/>
            <w:vAlign w:val="center"/>
          </w:tcPr>
          <w:p>
            <w:pPr>
              <w:pageBreakBefore w:val="0"/>
              <w:kinsoku/>
              <w:wordWrap/>
              <w:overflowPunct/>
              <w:topLinePunct w:val="0"/>
              <w:autoSpaceDE/>
              <w:autoSpaceDN/>
              <w:bidi w:val="0"/>
              <w:adjustRightInd/>
              <w:snapToGrid/>
              <w:spacing w:before="120" w:after="120" w:line="400" w:lineRule="exact"/>
              <w:ind w:left="-90" w:leftChars="-43"/>
              <w:jc w:val="center"/>
              <w:textAlignment w:val="auto"/>
              <w:rPr>
                <w:rFonts w:hint="eastAsia" w:ascii="宋体" w:hAnsi="宋体" w:eastAsia="宋体" w:cs="宋体"/>
                <w:sz w:val="24"/>
                <w:szCs w:val="24"/>
              </w:rPr>
            </w:pPr>
            <w:r>
              <w:rPr>
                <w:rFonts w:hint="eastAsia" w:ascii="宋体" w:hAnsi="宋体" w:eastAsia="宋体" w:cs="宋体"/>
                <w:b/>
                <w:sz w:val="24"/>
                <w:szCs w:val="24"/>
              </w:rPr>
              <w:t>监控系统  WCS++-SCS</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C0C0C0"/>
            <w:textDirection w:val="tbRl"/>
            <w:vAlign w:val="center"/>
          </w:tcPr>
          <w:p>
            <w:pPr>
              <w:pStyle w:val="26"/>
              <w:pageBreakBefore w:val="0"/>
              <w:kinsoku/>
              <w:wordWrap/>
              <w:overflowPunct/>
              <w:topLinePunct w:val="0"/>
              <w:autoSpaceDE/>
              <w:autoSpaceDN/>
              <w:bidi w:val="0"/>
              <w:adjustRightInd/>
              <w:snapToGrid/>
              <w:spacing w:before="120" w:after="120" w:line="400" w:lineRule="exact"/>
              <w:ind w:left="111" w:leftChars="53" w:right="113"/>
              <w:jc w:val="center"/>
              <w:textAlignment w:val="auto"/>
              <w:rPr>
                <w:rFonts w:hint="eastAsia" w:ascii="宋体" w:hAnsi="宋体" w:eastAsia="宋体" w:cs="宋体"/>
                <w:spacing w:val="30"/>
                <w:sz w:val="24"/>
                <w:szCs w:val="24"/>
              </w:rPr>
            </w:pPr>
            <w:r>
              <w:rPr>
                <w:rFonts w:hint="eastAsia" w:ascii="宋体" w:hAnsi="宋体" w:eastAsia="宋体" w:cs="宋体"/>
                <w:b/>
                <w:spacing w:val="30"/>
                <w:sz w:val="24"/>
                <w:szCs w:val="24"/>
              </w:rPr>
              <w:t>综合查询系统  WCS++-QUS</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C0C0C0"/>
            <w:textDirection w:val="tbRl"/>
            <w:vAlign w:val="center"/>
          </w:tcPr>
          <w:p>
            <w:pPr>
              <w:pageBreakBefore w:val="0"/>
              <w:kinsoku/>
              <w:wordWrap/>
              <w:overflowPunct/>
              <w:topLinePunct w:val="0"/>
              <w:autoSpaceDE/>
              <w:autoSpaceDN/>
              <w:bidi w:val="0"/>
              <w:adjustRightInd/>
              <w:snapToGrid/>
              <w:spacing w:before="120" w:after="120" w:line="400" w:lineRule="exact"/>
              <w:ind w:left="111" w:leftChars="53" w:right="113"/>
              <w:textAlignment w:val="auto"/>
              <w:rPr>
                <w:rFonts w:hint="eastAsia" w:ascii="宋体" w:hAnsi="宋体" w:eastAsia="宋体" w:cs="宋体"/>
                <w:b/>
                <w:sz w:val="24"/>
                <w:szCs w:val="24"/>
              </w:rPr>
            </w:pPr>
            <w:r>
              <w:rPr>
                <w:rFonts w:hint="eastAsia" w:ascii="宋体" w:hAnsi="宋体" w:eastAsia="宋体" w:cs="宋体"/>
                <w:b/>
                <w:spacing w:val="28"/>
                <w:sz w:val="24"/>
                <w:szCs w:val="24"/>
              </w:rPr>
              <w:t>辅助作业处理系统WCS++-AHS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454" w:type="dxa"/>
            <w:shd w:val="clear" w:color="auto" w:fill="0000FF"/>
            <w:vAlign w:val="center"/>
          </w:tcPr>
          <w:p>
            <w:pPr>
              <w:pStyle w:val="26"/>
              <w:pageBreakBefore w:val="0"/>
              <w:kinsoku/>
              <w:wordWrap/>
              <w:overflowPunct/>
              <w:topLinePunct w:val="0"/>
              <w:autoSpaceDE/>
              <w:autoSpaceDN/>
              <w:bidi w:val="0"/>
              <w:adjustRightInd/>
              <w:snapToGrid/>
              <w:spacing w:before="120" w:after="120" w:line="400" w:lineRule="exact"/>
              <w:ind w:left="1680" w:leftChars="800" w:firstLine="442"/>
              <w:jc w:val="center"/>
              <w:textAlignment w:val="auto"/>
              <w:rPr>
                <w:rFonts w:hint="eastAsia" w:ascii="宋体" w:hAnsi="宋体" w:eastAsia="宋体" w:cs="宋体"/>
                <w:b/>
                <w:sz w:val="24"/>
                <w:szCs w:val="24"/>
              </w:rPr>
            </w:pPr>
            <w:r>
              <w:rPr>
                <w:rFonts w:hint="eastAsia" w:ascii="宋体" w:hAnsi="宋体" w:eastAsia="宋体" w:cs="宋体"/>
                <w:b/>
                <w:sz w:val="24"/>
                <w:szCs w:val="24"/>
              </w:rPr>
              <w:t>E</w:t>
            </w:r>
          </w:p>
        </w:tc>
        <w:tc>
          <w:tcPr>
            <w:tcW w:w="2943" w:type="dxa"/>
            <w:tcBorders>
              <w:bottom w:val="single" w:color="auto" w:sz="4" w:space="0"/>
              <w:right w:val="single" w:color="auto" w:sz="4" w:space="0"/>
            </w:tcBorders>
            <w:shd w:val="clear" w:color="auto" w:fill="FFC000"/>
            <w:vAlign w:val="center"/>
          </w:tcPr>
          <w:p>
            <w:pPr>
              <w:pStyle w:val="26"/>
              <w:pageBreakBefore w:val="0"/>
              <w:kinsoku/>
              <w:wordWrap/>
              <w:overflowPunct/>
              <w:topLinePunct w:val="0"/>
              <w:autoSpaceDE/>
              <w:autoSpaceDN/>
              <w:bidi w:val="0"/>
              <w:adjustRightInd/>
              <w:snapToGrid/>
              <w:spacing w:before="120" w:after="120" w:line="400" w:lineRule="exact"/>
              <w:ind w:left="111" w:leftChars="53" w:right="113"/>
              <w:jc w:val="center"/>
              <w:textAlignment w:val="auto"/>
              <w:rPr>
                <w:rFonts w:hint="eastAsia" w:ascii="宋体" w:hAnsi="宋体" w:eastAsia="宋体" w:cs="宋体"/>
                <w:b/>
                <w:spacing w:val="-26"/>
                <w:sz w:val="24"/>
                <w:szCs w:val="24"/>
              </w:rPr>
            </w:pPr>
            <w:r>
              <w:rPr>
                <w:rFonts w:hint="eastAsia" w:ascii="宋体" w:hAnsi="宋体" w:eastAsia="宋体" w:cs="宋体"/>
                <w:b/>
                <w:sz w:val="24"/>
                <w:szCs w:val="24"/>
              </w:rPr>
              <w:t>设备执行系统WCS++-PLC</w:t>
            </w:r>
          </w:p>
        </w:tc>
        <w:tc>
          <w:tcPr>
            <w:tcW w:w="993"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pStyle w:val="26"/>
              <w:pageBreakBefore w:val="0"/>
              <w:kinsoku/>
              <w:wordWrap/>
              <w:overflowPunct/>
              <w:topLinePunct w:val="0"/>
              <w:autoSpaceDE/>
              <w:autoSpaceDN/>
              <w:bidi w:val="0"/>
              <w:adjustRightInd/>
              <w:snapToGrid/>
              <w:spacing w:before="120" w:after="120" w:line="400" w:lineRule="exact"/>
              <w:ind w:left="1680" w:leftChars="800" w:firstLine="440"/>
              <w:jc w:val="center"/>
              <w:textAlignment w:val="auto"/>
              <w:rPr>
                <w:rFonts w:hint="eastAsia" w:ascii="宋体" w:hAnsi="宋体" w:eastAsia="宋体" w:cs="宋体"/>
                <w:sz w:val="24"/>
                <w:szCs w:val="24"/>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pageBreakBefore w:val="0"/>
              <w:kinsoku/>
              <w:wordWrap/>
              <w:overflowPunct/>
              <w:topLinePunct w:val="0"/>
              <w:autoSpaceDE/>
              <w:autoSpaceDN/>
              <w:bidi w:val="0"/>
              <w:adjustRightInd/>
              <w:snapToGrid/>
              <w:spacing w:before="120" w:after="120" w:line="400" w:lineRule="exact"/>
              <w:ind w:left="1680" w:leftChars="800" w:right="113"/>
              <w:textAlignment w:val="auto"/>
              <w:rPr>
                <w:rFonts w:hint="eastAsia" w:ascii="宋体" w:hAnsi="宋体" w:eastAsia="宋体" w:cs="宋体"/>
                <w:sz w:val="24"/>
                <w:szCs w:val="24"/>
              </w:rPr>
            </w:pPr>
          </w:p>
        </w:tc>
      </w:tr>
    </w:tbl>
    <w:p>
      <w:pPr>
        <w:pStyle w:val="37"/>
        <w:pageBreakBefore w:val="0"/>
        <w:kinsoku/>
        <w:wordWrap/>
        <w:overflowPunct/>
        <w:topLinePunct w:val="0"/>
        <w:autoSpaceDE/>
        <w:autoSpaceDN/>
        <w:bidi w:val="0"/>
        <w:adjustRightInd/>
        <w:snapToGrid/>
        <w:spacing w:before="156" w:beforeLines="50" w:line="400" w:lineRule="exact"/>
        <w:textAlignment w:val="auto"/>
        <w:rPr>
          <w:rFonts w:hint="eastAsia" w:ascii="宋体" w:hAnsi="宋体" w:eastAsia="宋体" w:cs="宋体"/>
          <w:sz w:val="24"/>
          <w:szCs w:val="24"/>
        </w:rPr>
      </w:pP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shd w:val="clear" w:color="auto" w:fill="FFFFFF"/>
        </w:rPr>
      </w:pPr>
      <w:bookmarkStart w:id="30" w:name="_Toc360603724"/>
      <w:bookmarkStart w:id="31" w:name="_Toc15474769"/>
      <w:bookmarkStart w:id="32" w:name="_Toc232686817"/>
      <w:r>
        <w:rPr>
          <w:rFonts w:hint="eastAsia" w:ascii="宋体" w:hAnsi="宋体" w:eastAsia="宋体" w:cs="宋体"/>
          <w:sz w:val="24"/>
          <w:szCs w:val="24"/>
          <w:shd w:val="clear" w:color="auto" w:fill="FFFFFF"/>
        </w:rPr>
        <w:t>1.2 系统组成</w:t>
      </w:r>
      <w:bookmarkEnd w:id="30"/>
      <w:bookmarkEnd w:id="31"/>
      <w:bookmarkEnd w:id="32"/>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sz w:val="24"/>
          <w:szCs w:val="24"/>
          <w:shd w:val="clear" w:color="auto" w:fill="FFFFFF"/>
        </w:rPr>
        <w:t xml:space="preserve"> </w:t>
      </w:r>
      <w:r>
        <w:rPr>
          <w:rFonts w:hint="eastAsia" w:ascii="宋体" w:hAnsi="宋体" w:eastAsia="宋体" w:cs="宋体"/>
          <w:b w:val="0"/>
          <w:bCs w:val="0"/>
          <w:sz w:val="24"/>
          <w:szCs w:val="24"/>
          <w:shd w:val="clear" w:color="auto" w:fill="FFFFFF"/>
        </w:rPr>
        <w:t>WCS++的系统构成包括：</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IFS综合接口系统</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SCS设备监控系统</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QUS作业查询系统</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AHS辅助处理系统</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综合完成物流配送过程中的信息交换、信息控制、信息管理和信息分析等功能。WCS++系统各基本模块及各模块间的层次关系如上图所示：</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shd w:val="clear" w:color="auto" w:fill="FFFFFF"/>
        </w:rPr>
      </w:pPr>
      <w:bookmarkStart w:id="33" w:name="_Toc360603725"/>
      <w:bookmarkStart w:id="34" w:name="_Toc232686818"/>
      <w:bookmarkStart w:id="35" w:name="_Toc15474770"/>
      <w:r>
        <w:rPr>
          <w:rFonts w:hint="eastAsia" w:ascii="宋体" w:hAnsi="宋体" w:eastAsia="宋体" w:cs="宋体"/>
          <w:sz w:val="24"/>
          <w:szCs w:val="24"/>
          <w:shd w:val="clear" w:color="auto" w:fill="FFFFFF"/>
        </w:rPr>
        <w:t>1.3 系统说明</w:t>
      </w:r>
      <w:bookmarkEnd w:id="33"/>
      <w:bookmarkEnd w:id="34"/>
      <w:bookmarkEnd w:id="35"/>
    </w:p>
    <w:p>
      <w:pPr>
        <w:pStyle w:val="4"/>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主控系统（企业ERP系统）</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此处是指企业ERP系统，是位于物流自动化信息管理系统之上的系统。它可以向自动化物流系统发布入出库计划及规划入库产品项目，同时也可以从自动化物流信息管理系统获得各种必要的信息，如库存情况、入出库情况等。</w:t>
      </w:r>
    </w:p>
    <w:p>
      <w:pPr>
        <w:pStyle w:val="4"/>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仓储管理系统WMS</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WMS管理物流的所有活动，接收ERP系统所下达的入出库计划，生成相应的物流任务并传送到WCS++，接收WCS++执行结果，纪录所有物料信息，与ERP系统交换各种数据信息。</w:t>
      </w:r>
    </w:p>
    <w:p>
      <w:pPr>
        <w:pStyle w:val="4"/>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集成化物流调度监控系统WCS++</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w:t>
      </w:r>
      <w:r>
        <w:rPr>
          <w:rFonts w:hint="eastAsia" w:ascii="宋体" w:hAnsi="宋体" w:eastAsia="宋体" w:cs="宋体"/>
          <w:b w:val="0"/>
          <w:bCs w:val="0"/>
          <w:sz w:val="24"/>
          <w:szCs w:val="24"/>
          <w:shd w:val="clear" w:color="auto" w:fill="FFFFFF"/>
        </w:rPr>
        <w:tab/>
      </w:r>
      <w:r>
        <w:rPr>
          <w:rFonts w:hint="eastAsia" w:ascii="宋体" w:hAnsi="宋体" w:eastAsia="宋体" w:cs="宋体"/>
          <w:b w:val="0"/>
          <w:bCs w:val="0"/>
          <w:sz w:val="24"/>
          <w:szCs w:val="24"/>
          <w:shd w:val="clear" w:color="auto" w:fill="FFFFFF"/>
        </w:rPr>
        <w:t>WCS++ 的内核层是服务器。由数据库软件、操作系统、分布式管理服务器等构成。</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(2)</w:t>
      </w:r>
      <w:r>
        <w:rPr>
          <w:rFonts w:hint="eastAsia" w:ascii="宋体" w:hAnsi="宋体" w:eastAsia="宋体" w:cs="宋体"/>
          <w:b w:val="0"/>
          <w:bCs w:val="0"/>
          <w:sz w:val="24"/>
          <w:szCs w:val="24"/>
          <w:shd w:val="clear" w:color="auto" w:fill="FFFFFF"/>
        </w:rPr>
        <w:tab/>
      </w:r>
      <w:r>
        <w:rPr>
          <w:rFonts w:hint="eastAsia" w:ascii="宋体" w:hAnsi="宋体" w:eastAsia="宋体" w:cs="宋体"/>
          <w:b w:val="0"/>
          <w:bCs w:val="0"/>
          <w:sz w:val="24"/>
          <w:szCs w:val="24"/>
          <w:shd w:val="clear" w:color="auto" w:fill="FFFFFF"/>
        </w:rPr>
        <w:t>WCS++-IFS模块</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WCS++-IFS模块是集成化物流调度监控系统的接口软件部分，是实现WCS++与WMS等系统进行有效连接的中间桥梁。WCS++IFS具有开放式连接的特点，可以与各种WMS，ERP，自动化物流设备等实现无缝连接。</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(3)</w:t>
      </w:r>
      <w:r>
        <w:rPr>
          <w:rFonts w:hint="eastAsia" w:ascii="宋体" w:hAnsi="宋体" w:eastAsia="宋体" w:cs="宋体"/>
          <w:b w:val="0"/>
          <w:bCs w:val="0"/>
          <w:sz w:val="24"/>
          <w:szCs w:val="24"/>
          <w:shd w:val="clear" w:color="auto" w:fill="FFFFFF"/>
        </w:rPr>
        <w:tab/>
      </w:r>
      <w:r>
        <w:rPr>
          <w:rFonts w:hint="eastAsia" w:ascii="宋体" w:hAnsi="宋体" w:eastAsia="宋体" w:cs="宋体"/>
          <w:b w:val="0"/>
          <w:bCs w:val="0"/>
          <w:sz w:val="24"/>
          <w:szCs w:val="24"/>
          <w:shd w:val="clear" w:color="auto" w:fill="FFFFFF"/>
        </w:rPr>
        <w:t>WCS++-SCS模块</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WCS++-SCS模块执行WCS与控制系统的通讯。通过制定通讯协议，连接WCS与PLC控制系统。</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(4)</w:t>
      </w:r>
      <w:r>
        <w:rPr>
          <w:rFonts w:hint="eastAsia" w:ascii="宋体" w:hAnsi="宋体" w:eastAsia="宋体" w:cs="宋体"/>
          <w:b w:val="0"/>
          <w:bCs w:val="0"/>
          <w:sz w:val="24"/>
          <w:szCs w:val="24"/>
          <w:shd w:val="clear" w:color="auto" w:fill="FFFFFF"/>
        </w:rPr>
        <w:tab/>
      </w:r>
      <w:r>
        <w:rPr>
          <w:rFonts w:hint="eastAsia" w:ascii="宋体" w:hAnsi="宋体" w:eastAsia="宋体" w:cs="宋体"/>
          <w:b w:val="0"/>
          <w:bCs w:val="0"/>
          <w:sz w:val="24"/>
          <w:szCs w:val="24"/>
          <w:shd w:val="clear" w:color="auto" w:fill="FFFFFF"/>
        </w:rPr>
        <w:t>WCS++-QUS模块</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WCS++-QUS是作业综合查询模块，提供各种接口及作业信息的查询。</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(5)</w:t>
      </w:r>
      <w:r>
        <w:rPr>
          <w:rFonts w:hint="eastAsia" w:ascii="宋体" w:hAnsi="宋体" w:eastAsia="宋体" w:cs="宋体"/>
          <w:b w:val="0"/>
          <w:bCs w:val="0"/>
          <w:sz w:val="24"/>
          <w:szCs w:val="24"/>
          <w:shd w:val="clear" w:color="auto" w:fill="FFFFFF"/>
        </w:rPr>
        <w:tab/>
      </w:r>
      <w:r>
        <w:rPr>
          <w:rFonts w:hint="eastAsia" w:ascii="宋体" w:hAnsi="宋体" w:eastAsia="宋体" w:cs="宋体"/>
          <w:b w:val="0"/>
          <w:bCs w:val="0"/>
          <w:sz w:val="24"/>
          <w:szCs w:val="24"/>
          <w:shd w:val="clear" w:color="auto" w:fill="FFFFFF"/>
        </w:rPr>
        <w:t>WCS++-AHS模块</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WCS++-AHS是系统作业辅助处理模块，主要针对系统出现的异常情况进行人工处理。</w:t>
      </w:r>
    </w:p>
    <w:p>
      <w:pPr>
        <w:pStyle w:val="4"/>
        <w:keepNext/>
        <w:keepLines/>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1.4 各系统功能需求：</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shd w:val="clear" w:color="auto" w:fill="FFFFFF"/>
        </w:rPr>
        <w:t>、堆垛机控制系统具备以下功能需求</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1、系统功能</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手动控制:电控系统提供手动操作功能。在此控制方式下，操作人员可以在现场操作终端上对设备动作进行操作</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自动控制:电控系统与上位计算机离线，操作人员可在现场操作员终端输入指令实现对名输送设备的自动 控制，包括电机启/停、执行机构的动作等，实现对物流和数据流的自动传输，满足与上位计算机离线时的输送任务</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在线控制:正常情况下，电控系统与上位调度计算机保持通讯连接，由上位调度计算机下电控系统接受命令对各输送设备进行动作控制，包括电机启/停、执达物料输送命令，行机构的动作等，从而实现对物流和数据流的自动传输，最终满足工艺流程的要求</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紧急停止:主控柜和现场操作员终端上具有紧急停止操作功能。在操作员终端上按下急停按钮后，该段内控制系统所控制的设备必须全部停止运行，在主控柜上按下急停按钮后可以切断动力电源。解除紧急情况后，系统须故障确认后方可正常工作</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连锁安全门:在高速运行设备(如穿梭车、堆机)的周围设有连锁安全门，当安全门被打开时，高速运行设备将停止运行，以保护现场设备和人员的安全。解除紧急情况后，经人工确认系统所有在线任务可继续自动完成</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故障报警:系统所控制的设备出现故障时，能自动诊断并产生相应的声光报警并在现场终端上定位故障、 显示故障信息。故障排除确认后，在线任务可继续自动完成</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信息查询及维护:操作人员可在现场操作员终端上查询每台输送设备当前输送物料的信息(如:物料类型、目标地址等)，必要时也可以对这些信息进行人工维护</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设备监控:在现场操作终端上通过图文结合方式反映各台设备运行状态与信息，并可对设备进行手动操作、故障确认与维护</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rPr>
        <w:t>设备维修安全保护:当对设备进行维修或维护保养时，通过断开设备上的本地隔离开关可以切断设备动力 电源并通过操作终端把设备运行状态切换到手动运行模式，从而保证操作、维修人员的安全</w:t>
      </w:r>
      <w:r>
        <w:rPr>
          <w:rFonts w:hint="eastAsia" w:ascii="宋体" w:hAnsi="宋体" w:eastAsia="宋体" w:cs="宋体"/>
          <w:b w:val="0"/>
          <w:bCs w:val="0"/>
          <w:sz w:val="24"/>
          <w:szCs w:val="24"/>
          <w:shd w:val="clear" w:color="auto" w:fill="FFFFFF"/>
          <w:lang w:eastAsia="zh-CN"/>
        </w:rPr>
        <w:t>；</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控制接口:系统与环形穿梭车单机控制系统之间采用硬件I0点连锁;与堆机之间采用硬件 IO 点连锁;与上位计算机系统之间通过工业以太网接口,使用OPC 协议进行通讯。</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2、运行方式</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堆垛机控制采用手动、单机自动及联机自动控制方式。</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·手动方式</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采用开关控制堆垛机的水平和垂直运动及货叉的伸缩运动。手动操作用于安装、调试和故障状态。</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·单机自动方式</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在监控机上输入单机作业命令，堆垛机即自动完成一次作业，并等待下次作业。</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  联机自动控制方式由计算机管理系统发出的作业命令经由现场总线传送到达地面上的远红外通讯装置，堆垛机上的远红外通讯装置在接到命令后自动完成一次作业,堆机的PLC及时将堆垛机的运行状况通过远红外通讯装置和现场总线返回监控计算机，监控计算机通过彩色监视器将各设备的运行状态实时显示。</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二、监控系统 WCS 满足以下功能</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1.系统功能简介</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监控系统具有实时控制、实时通讯、随时设定、实时监视、故障处理等功能，担负着立体库中各堆垛机、运输机的集中控制和协调作业任务。</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1.1. 实时通讯功能由于立体库中所有各级设备之间的任务交接都是通过监控系统进行的，监控系统必须实时与各级设备通讯，及时传递相应信息。与监控系统通讯的设备有:立体库管理系统服务器、输送机系统 PLC、堆垛机系统PLC。</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1.2. 实时控制功能</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不同的作业任务由不同的设备完成，对某一个作业任务，应该先给哪个设备，再给哪个设备，其控制过程由监控机来完成。例如在联机自动作业方式下，入库任务应先给输送机，输送机完成后再给堆垛机;出库任务则先给堆机，堆机完成后再给输送机等等。</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1.3. 随时设定功能</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监控系统除接收管理系统作业任务外，还随时可以从监控机上输入作业任务。正常情况下，监控机从管理机接收作业任务，只有当管理机故障或网络故障，或其它需要时，才从监控机上输入作业任务。</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1.4. 实时监视功能</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为方便操作人员及时了解各设备的运行状态和所有当前任务的执行情况,尤其是故障情况下的原因分析及故障处理，本监控系统具有实时监视功能。</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1.5. 故障处理功能</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故障处理主要是针对某一正在进行的任务的处理，多发生在堆机出现故障时。如:空取货故障、双重入库故障、伸缩叉超时故障、停偏故障等，对于不同的故障采用不同的处理方法。</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2.系统组成</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本系统由一台微机、一块以太网网卡组成。通过以太网网卡挂在立体库管理系统局域网上，与管理系统服务器通讯，与7台堆垛机PLC通讯。</w:t>
      </w:r>
    </w:p>
    <w:p>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3.系统工作原理</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本系统选用Windows7版64位系统作为操作平台，WinCc 7.3作为集成开发环境正常情况下，监控机从立体库管理系统服务器SQLServer数据库上读取作业任务，经过处理后，发给输送机、堆垛机。作业过程中实时接收各控制设备的电报，经过处理后将任务的完成电报和设备的状态电报发给管理机。特殊情况下，也可以从监控机上设定作业任务。</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作业方式为入库、出库两种。</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工作方式分两类，一类来自管理机，为管理机联机自动;另一类从监控机上设定，为监控机联机自动、堆垛机单机自动和输送机单机自动，共4种工作方式。当工作方式为理机联机自动和监控机联机自动时，入库作业必须先发给输送机，输送机送到巷道口后再发给堆垛机来完成;出库作业则必须先发给堆机，堆机放到巷道口后再发给输送机来完成。当工作方式为某种设备单机自动时，入、出库作业只发给相应设备来完成。</w:t>
      </w:r>
    </w:p>
    <w:p>
      <w:pPr>
        <w:numPr>
          <w:ilvl w:val="0"/>
          <w:numId w:val="0"/>
        </w:num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SegoeUISymbol">
    <w:altName w:val="宋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2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Mi/pj7oBAABYAwAADgAAAAAAAAABACAAAAAiAQAAZHJzL2Uyb0RvYy54bWxQSwUGAAAA&#10;AAYABgBZAQAATgUAAAAA&#10;">
              <v:fill on="f" focussize="0,0"/>
              <v:stroke on="f" weight="1.25pt"/>
              <v:imagedata o:title=""/>
              <o:lock v:ext="edit" aspectratio="f"/>
              <v:textbox inset="0mm,0mm,0mm,0mm" style="mso-fit-shape-to-text:t;">
                <w:txbxContent>
                  <w:p>
                    <w:pPr>
                      <w:pStyle w:val="21"/>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87291"/>
    <w:multiLevelType w:val="singleLevel"/>
    <w:tmpl w:val="82787291"/>
    <w:lvl w:ilvl="0" w:tentative="0">
      <w:start w:val="1"/>
      <w:numFmt w:val="decimal"/>
      <w:lvlText w:val="%1."/>
      <w:lvlJc w:val="left"/>
      <w:pPr>
        <w:tabs>
          <w:tab w:val="left" w:pos="312"/>
        </w:tabs>
      </w:pPr>
    </w:lvl>
  </w:abstractNum>
  <w:abstractNum w:abstractNumId="1">
    <w:nsid w:val="8BFC8FD0"/>
    <w:multiLevelType w:val="singleLevel"/>
    <w:tmpl w:val="8BFC8FD0"/>
    <w:lvl w:ilvl="0" w:tentative="0">
      <w:start w:val="1"/>
      <w:numFmt w:val="decimal"/>
      <w:lvlText w:val="%1)"/>
      <w:lvlJc w:val="left"/>
      <w:pPr>
        <w:ind w:left="425" w:hanging="425"/>
      </w:pPr>
      <w:rPr>
        <w:rFonts w:hint="default"/>
      </w:rPr>
    </w:lvl>
  </w:abstractNum>
  <w:abstractNum w:abstractNumId="2">
    <w:nsid w:val="8D46A7DA"/>
    <w:multiLevelType w:val="singleLevel"/>
    <w:tmpl w:val="8D46A7DA"/>
    <w:lvl w:ilvl="0" w:tentative="0">
      <w:start w:val="1"/>
      <w:numFmt w:val="decimal"/>
      <w:suff w:val="nothing"/>
      <w:lvlText w:val="（%1）"/>
      <w:lvlJc w:val="left"/>
    </w:lvl>
  </w:abstractNum>
  <w:abstractNum w:abstractNumId="3">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4">
    <w:nsid w:val="A081329F"/>
    <w:multiLevelType w:val="singleLevel"/>
    <w:tmpl w:val="A081329F"/>
    <w:lvl w:ilvl="0" w:tentative="0">
      <w:start w:val="1"/>
      <w:numFmt w:val="decimal"/>
      <w:lvlText w:val="%1)"/>
      <w:lvlJc w:val="left"/>
      <w:pPr>
        <w:ind w:left="425" w:hanging="425"/>
      </w:pPr>
      <w:rPr>
        <w:rFonts w:hint="default"/>
      </w:rPr>
    </w:lvl>
  </w:abstractNum>
  <w:abstractNum w:abstractNumId="5">
    <w:nsid w:val="AC252D41"/>
    <w:multiLevelType w:val="singleLevel"/>
    <w:tmpl w:val="AC252D41"/>
    <w:lvl w:ilvl="0" w:tentative="0">
      <w:start w:val="1"/>
      <w:numFmt w:val="decimal"/>
      <w:lvlText w:val="%1)"/>
      <w:lvlJc w:val="left"/>
      <w:pPr>
        <w:ind w:left="425" w:hanging="425"/>
      </w:pPr>
      <w:rPr>
        <w:rFonts w:hint="default"/>
      </w:rPr>
    </w:lvl>
  </w:abstractNum>
  <w:abstractNum w:abstractNumId="6">
    <w:nsid w:val="B38B9825"/>
    <w:multiLevelType w:val="singleLevel"/>
    <w:tmpl w:val="B38B9825"/>
    <w:lvl w:ilvl="0" w:tentative="0">
      <w:start w:val="1"/>
      <w:numFmt w:val="lowerLetter"/>
      <w:lvlText w:val="%1."/>
      <w:lvlJc w:val="left"/>
      <w:pPr>
        <w:ind w:left="425" w:hanging="425"/>
      </w:pPr>
      <w:rPr>
        <w:rFonts w:hint="default"/>
      </w:rPr>
    </w:lvl>
  </w:abstractNum>
  <w:abstractNum w:abstractNumId="7">
    <w:nsid w:val="C4986D86"/>
    <w:multiLevelType w:val="singleLevel"/>
    <w:tmpl w:val="C4986D86"/>
    <w:lvl w:ilvl="0" w:tentative="0">
      <w:start w:val="10"/>
      <w:numFmt w:val="chineseCounting"/>
      <w:suff w:val="nothing"/>
      <w:lvlText w:val="%1、"/>
      <w:lvlJc w:val="left"/>
      <w:rPr>
        <w:rFonts w:hint="eastAsia"/>
      </w:rPr>
    </w:lvl>
  </w:abstractNum>
  <w:abstractNum w:abstractNumId="8">
    <w:nsid w:val="D57742C5"/>
    <w:multiLevelType w:val="singleLevel"/>
    <w:tmpl w:val="D57742C5"/>
    <w:lvl w:ilvl="0" w:tentative="0">
      <w:start w:val="1"/>
      <w:numFmt w:val="decimal"/>
      <w:suff w:val="nothing"/>
      <w:lvlText w:val="（%1）"/>
      <w:lvlJc w:val="left"/>
    </w:lvl>
  </w:abstractNum>
  <w:abstractNum w:abstractNumId="9">
    <w:nsid w:val="EB56FEB1"/>
    <w:multiLevelType w:val="singleLevel"/>
    <w:tmpl w:val="EB56FEB1"/>
    <w:lvl w:ilvl="0" w:tentative="0">
      <w:start w:val="1"/>
      <w:numFmt w:val="bullet"/>
      <w:lvlText w:val=""/>
      <w:lvlJc w:val="left"/>
      <w:pPr>
        <w:ind w:left="420" w:hanging="420"/>
      </w:pPr>
      <w:rPr>
        <w:rFonts w:hint="default" w:ascii="Wingdings" w:hAnsi="Wingdings"/>
      </w:rPr>
    </w:lvl>
  </w:abstractNum>
  <w:abstractNum w:abstractNumId="10">
    <w:nsid w:val="EECD0AED"/>
    <w:multiLevelType w:val="singleLevel"/>
    <w:tmpl w:val="EECD0AED"/>
    <w:lvl w:ilvl="0" w:tentative="0">
      <w:start w:val="1"/>
      <w:numFmt w:val="decimal"/>
      <w:suff w:val="nothing"/>
      <w:lvlText w:val="（%1）"/>
      <w:lvlJc w:val="left"/>
    </w:lvl>
  </w:abstractNum>
  <w:abstractNum w:abstractNumId="11">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2">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3">
    <w:nsid w:val="323DA0C3"/>
    <w:multiLevelType w:val="singleLevel"/>
    <w:tmpl w:val="323DA0C3"/>
    <w:lvl w:ilvl="0" w:tentative="0">
      <w:start w:val="1"/>
      <w:numFmt w:val="decimal"/>
      <w:suff w:val="nothing"/>
      <w:lvlText w:val="%1）"/>
      <w:lvlJc w:val="left"/>
    </w:lvl>
  </w:abstractNum>
  <w:abstractNum w:abstractNumId="14">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5">
    <w:nsid w:val="5BE9E2F8"/>
    <w:multiLevelType w:val="singleLevel"/>
    <w:tmpl w:val="5BE9E2F8"/>
    <w:lvl w:ilvl="0" w:tentative="0">
      <w:start w:val="1"/>
      <w:numFmt w:val="lowerLetter"/>
      <w:lvlText w:val="%1."/>
      <w:lvlJc w:val="left"/>
      <w:pPr>
        <w:ind w:left="425" w:hanging="425"/>
      </w:pPr>
      <w:rPr>
        <w:rFonts w:hint="default"/>
      </w:rPr>
    </w:lvl>
  </w:abstractNum>
  <w:abstractNum w:abstractNumId="16">
    <w:nsid w:val="7318D1E3"/>
    <w:multiLevelType w:val="singleLevel"/>
    <w:tmpl w:val="7318D1E3"/>
    <w:lvl w:ilvl="0" w:tentative="0">
      <w:start w:val="1"/>
      <w:numFmt w:val="decimal"/>
      <w:suff w:val="nothing"/>
      <w:lvlText w:val="（%1）"/>
      <w:lvlJc w:val="left"/>
    </w:lvl>
  </w:abstractNum>
  <w:abstractNum w:abstractNumId="17">
    <w:nsid w:val="752F6DD9"/>
    <w:multiLevelType w:val="singleLevel"/>
    <w:tmpl w:val="752F6DD9"/>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17"/>
  </w:num>
  <w:num w:numId="4">
    <w:abstractNumId w:val="2"/>
  </w:num>
  <w:num w:numId="5">
    <w:abstractNumId w:val="1"/>
  </w:num>
  <w:num w:numId="6">
    <w:abstractNumId w:val="4"/>
  </w:num>
  <w:num w:numId="7">
    <w:abstractNumId w:val="14"/>
  </w:num>
  <w:num w:numId="8">
    <w:abstractNumId w:val="13"/>
  </w:num>
  <w:num w:numId="9">
    <w:abstractNumId w:val="16"/>
  </w:num>
  <w:num w:numId="10">
    <w:abstractNumId w:val="10"/>
  </w:num>
  <w:num w:numId="11">
    <w:abstractNumId w:val="12"/>
  </w:num>
  <w:num w:numId="12">
    <w:abstractNumId w:val="15"/>
  </w:num>
  <w:num w:numId="13">
    <w:abstractNumId w:val="6"/>
  </w:num>
  <w:num w:numId="14">
    <w:abstractNumId w:val="11"/>
  </w:num>
  <w:num w:numId="15">
    <w:abstractNumId w:val="8"/>
  </w:num>
  <w:num w:numId="16">
    <w:abstractNumId w:val="9"/>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AE71C7"/>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E77EF4"/>
    <w:rsid w:val="04500139"/>
    <w:rsid w:val="051D437B"/>
    <w:rsid w:val="05902C99"/>
    <w:rsid w:val="059545AB"/>
    <w:rsid w:val="05CE08B1"/>
    <w:rsid w:val="06137317"/>
    <w:rsid w:val="0621036A"/>
    <w:rsid w:val="065E5F7F"/>
    <w:rsid w:val="0670360C"/>
    <w:rsid w:val="067C4E90"/>
    <w:rsid w:val="069275E1"/>
    <w:rsid w:val="06A12A56"/>
    <w:rsid w:val="06EC34E9"/>
    <w:rsid w:val="06F517F0"/>
    <w:rsid w:val="0704425F"/>
    <w:rsid w:val="071C7C62"/>
    <w:rsid w:val="072169D1"/>
    <w:rsid w:val="08DB2CD5"/>
    <w:rsid w:val="090C4141"/>
    <w:rsid w:val="091B523C"/>
    <w:rsid w:val="09381A80"/>
    <w:rsid w:val="096762D6"/>
    <w:rsid w:val="0A005A35"/>
    <w:rsid w:val="0A3F657B"/>
    <w:rsid w:val="0A5E508E"/>
    <w:rsid w:val="0AC804D8"/>
    <w:rsid w:val="0B200E94"/>
    <w:rsid w:val="0B4B6FA0"/>
    <w:rsid w:val="0B7979E1"/>
    <w:rsid w:val="0B7C5D95"/>
    <w:rsid w:val="0B80309F"/>
    <w:rsid w:val="0BBE4F2B"/>
    <w:rsid w:val="0BDE32ED"/>
    <w:rsid w:val="0C2F504F"/>
    <w:rsid w:val="0CCF37E3"/>
    <w:rsid w:val="0CF2414E"/>
    <w:rsid w:val="0D452B30"/>
    <w:rsid w:val="0D4A7508"/>
    <w:rsid w:val="0D745881"/>
    <w:rsid w:val="0D851897"/>
    <w:rsid w:val="0DAD5CE9"/>
    <w:rsid w:val="0E1516F4"/>
    <w:rsid w:val="0E53500F"/>
    <w:rsid w:val="0E5F17BF"/>
    <w:rsid w:val="0E5F6EAC"/>
    <w:rsid w:val="0E9A04DE"/>
    <w:rsid w:val="0F543F79"/>
    <w:rsid w:val="0FB15903"/>
    <w:rsid w:val="0FE060A8"/>
    <w:rsid w:val="1072091C"/>
    <w:rsid w:val="10D66F9B"/>
    <w:rsid w:val="1196301E"/>
    <w:rsid w:val="11A14A23"/>
    <w:rsid w:val="123C2E22"/>
    <w:rsid w:val="12537258"/>
    <w:rsid w:val="12663E0A"/>
    <w:rsid w:val="12692584"/>
    <w:rsid w:val="126A66C4"/>
    <w:rsid w:val="126F740F"/>
    <w:rsid w:val="12B32BBD"/>
    <w:rsid w:val="12B423C4"/>
    <w:rsid w:val="135F592B"/>
    <w:rsid w:val="1368531C"/>
    <w:rsid w:val="13B34BAA"/>
    <w:rsid w:val="13BB5DA6"/>
    <w:rsid w:val="13DC0837"/>
    <w:rsid w:val="13E232C0"/>
    <w:rsid w:val="14045C7B"/>
    <w:rsid w:val="14087C7D"/>
    <w:rsid w:val="144540C9"/>
    <w:rsid w:val="146174DB"/>
    <w:rsid w:val="148A37E3"/>
    <w:rsid w:val="14A43CE1"/>
    <w:rsid w:val="14C1118B"/>
    <w:rsid w:val="14E019A7"/>
    <w:rsid w:val="14E60E46"/>
    <w:rsid w:val="14E94101"/>
    <w:rsid w:val="14FE36FD"/>
    <w:rsid w:val="15174001"/>
    <w:rsid w:val="15365B73"/>
    <w:rsid w:val="156D4456"/>
    <w:rsid w:val="15D813BC"/>
    <w:rsid w:val="16362C78"/>
    <w:rsid w:val="168579CB"/>
    <w:rsid w:val="16BD43DD"/>
    <w:rsid w:val="16DA5A6D"/>
    <w:rsid w:val="17174F31"/>
    <w:rsid w:val="173919BD"/>
    <w:rsid w:val="17756394"/>
    <w:rsid w:val="1787750C"/>
    <w:rsid w:val="17A00ACA"/>
    <w:rsid w:val="17D651A8"/>
    <w:rsid w:val="18384C32"/>
    <w:rsid w:val="18450AE8"/>
    <w:rsid w:val="1856395B"/>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DE5D4F"/>
    <w:rsid w:val="1D0704D7"/>
    <w:rsid w:val="1D8D48EF"/>
    <w:rsid w:val="1DC460EA"/>
    <w:rsid w:val="1E4D45F2"/>
    <w:rsid w:val="1F3A24AA"/>
    <w:rsid w:val="1F3B72D9"/>
    <w:rsid w:val="202F56BC"/>
    <w:rsid w:val="2036128B"/>
    <w:rsid w:val="203B3F64"/>
    <w:rsid w:val="20446A81"/>
    <w:rsid w:val="20781CFD"/>
    <w:rsid w:val="20BE3894"/>
    <w:rsid w:val="20C30808"/>
    <w:rsid w:val="20C57325"/>
    <w:rsid w:val="20F44010"/>
    <w:rsid w:val="21315EC9"/>
    <w:rsid w:val="2163494E"/>
    <w:rsid w:val="21B14ED5"/>
    <w:rsid w:val="2204756D"/>
    <w:rsid w:val="223B4B41"/>
    <w:rsid w:val="224A5AB1"/>
    <w:rsid w:val="2263269E"/>
    <w:rsid w:val="22A07C3A"/>
    <w:rsid w:val="22AE014D"/>
    <w:rsid w:val="22B342AA"/>
    <w:rsid w:val="22DF1EF1"/>
    <w:rsid w:val="22EB1946"/>
    <w:rsid w:val="23324E68"/>
    <w:rsid w:val="23464D85"/>
    <w:rsid w:val="239E1CF6"/>
    <w:rsid w:val="23E946FC"/>
    <w:rsid w:val="24121853"/>
    <w:rsid w:val="244C68E1"/>
    <w:rsid w:val="24566371"/>
    <w:rsid w:val="245E1A25"/>
    <w:rsid w:val="24877038"/>
    <w:rsid w:val="25125F53"/>
    <w:rsid w:val="25387E72"/>
    <w:rsid w:val="25577ED0"/>
    <w:rsid w:val="259122AC"/>
    <w:rsid w:val="25A227A8"/>
    <w:rsid w:val="26684D52"/>
    <w:rsid w:val="266F50C2"/>
    <w:rsid w:val="269A4248"/>
    <w:rsid w:val="26A92A5C"/>
    <w:rsid w:val="270C3C8C"/>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8B6165"/>
    <w:rsid w:val="2B9E172B"/>
    <w:rsid w:val="2BFF2352"/>
    <w:rsid w:val="2C203ACA"/>
    <w:rsid w:val="2C73418E"/>
    <w:rsid w:val="2C8A4CBD"/>
    <w:rsid w:val="2CA77337"/>
    <w:rsid w:val="2D00520D"/>
    <w:rsid w:val="2D5847BF"/>
    <w:rsid w:val="2D91716B"/>
    <w:rsid w:val="2DD10AC0"/>
    <w:rsid w:val="2DE1186A"/>
    <w:rsid w:val="2DEB6203"/>
    <w:rsid w:val="2E0B037E"/>
    <w:rsid w:val="2E12020E"/>
    <w:rsid w:val="2EEF3774"/>
    <w:rsid w:val="2F9B57AF"/>
    <w:rsid w:val="2FE55C1B"/>
    <w:rsid w:val="2FF15986"/>
    <w:rsid w:val="2FF40B82"/>
    <w:rsid w:val="306F4921"/>
    <w:rsid w:val="3126769E"/>
    <w:rsid w:val="31503526"/>
    <w:rsid w:val="319D46FC"/>
    <w:rsid w:val="31B922F7"/>
    <w:rsid w:val="31F91FD1"/>
    <w:rsid w:val="32002D3D"/>
    <w:rsid w:val="320C08B5"/>
    <w:rsid w:val="32107124"/>
    <w:rsid w:val="3218639C"/>
    <w:rsid w:val="32D42A5C"/>
    <w:rsid w:val="32DE53BE"/>
    <w:rsid w:val="32E8739E"/>
    <w:rsid w:val="332E1FAC"/>
    <w:rsid w:val="3340083E"/>
    <w:rsid w:val="334208C5"/>
    <w:rsid w:val="335419FA"/>
    <w:rsid w:val="335D4CB2"/>
    <w:rsid w:val="33F14632"/>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CE6C84"/>
    <w:rsid w:val="3A211E80"/>
    <w:rsid w:val="3A472B36"/>
    <w:rsid w:val="3A8E58C2"/>
    <w:rsid w:val="3AA52780"/>
    <w:rsid w:val="3AA730B7"/>
    <w:rsid w:val="3AA91E24"/>
    <w:rsid w:val="3AD547A6"/>
    <w:rsid w:val="3AEE09AC"/>
    <w:rsid w:val="3B0A0CCF"/>
    <w:rsid w:val="3B0D4E28"/>
    <w:rsid w:val="3B4221FB"/>
    <w:rsid w:val="3B447CE3"/>
    <w:rsid w:val="3BC817D7"/>
    <w:rsid w:val="3BEA4ED6"/>
    <w:rsid w:val="3C2C0815"/>
    <w:rsid w:val="3C4416C7"/>
    <w:rsid w:val="3C5B00D7"/>
    <w:rsid w:val="3CA70800"/>
    <w:rsid w:val="3CDF48D3"/>
    <w:rsid w:val="3CF64B27"/>
    <w:rsid w:val="3D086998"/>
    <w:rsid w:val="3D242598"/>
    <w:rsid w:val="3D352A2F"/>
    <w:rsid w:val="3D437C86"/>
    <w:rsid w:val="3DA33CF8"/>
    <w:rsid w:val="3DB06E52"/>
    <w:rsid w:val="3DB45CC8"/>
    <w:rsid w:val="3E020949"/>
    <w:rsid w:val="3E1E32B8"/>
    <w:rsid w:val="3E283E77"/>
    <w:rsid w:val="3E57494A"/>
    <w:rsid w:val="3E783174"/>
    <w:rsid w:val="3E9F5796"/>
    <w:rsid w:val="3EAA76B2"/>
    <w:rsid w:val="3EF151E5"/>
    <w:rsid w:val="3F7917A8"/>
    <w:rsid w:val="3FB347AD"/>
    <w:rsid w:val="3FD873C0"/>
    <w:rsid w:val="40062050"/>
    <w:rsid w:val="40870040"/>
    <w:rsid w:val="408C3D95"/>
    <w:rsid w:val="408E5170"/>
    <w:rsid w:val="40B47BD4"/>
    <w:rsid w:val="40BE1A90"/>
    <w:rsid w:val="40E75FA9"/>
    <w:rsid w:val="412A2641"/>
    <w:rsid w:val="41426A1E"/>
    <w:rsid w:val="41913657"/>
    <w:rsid w:val="41A26732"/>
    <w:rsid w:val="41D93F68"/>
    <w:rsid w:val="4252583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40061E"/>
    <w:rsid w:val="45740B37"/>
    <w:rsid w:val="464F6CC4"/>
    <w:rsid w:val="4650709C"/>
    <w:rsid w:val="46757D3F"/>
    <w:rsid w:val="46C415BB"/>
    <w:rsid w:val="476C65B4"/>
    <w:rsid w:val="477B4F48"/>
    <w:rsid w:val="47B70E22"/>
    <w:rsid w:val="48312377"/>
    <w:rsid w:val="483823F0"/>
    <w:rsid w:val="48920822"/>
    <w:rsid w:val="48CE03CF"/>
    <w:rsid w:val="48D27BEE"/>
    <w:rsid w:val="492A1758"/>
    <w:rsid w:val="492E569F"/>
    <w:rsid w:val="4942504E"/>
    <w:rsid w:val="49B5288E"/>
    <w:rsid w:val="49C8494B"/>
    <w:rsid w:val="49D42A91"/>
    <w:rsid w:val="49D95585"/>
    <w:rsid w:val="49F7174C"/>
    <w:rsid w:val="4A1F7FB4"/>
    <w:rsid w:val="4A9D5589"/>
    <w:rsid w:val="4AAF5BC7"/>
    <w:rsid w:val="4AB769E1"/>
    <w:rsid w:val="4AF82359"/>
    <w:rsid w:val="4AFF3F1B"/>
    <w:rsid w:val="4B3319C2"/>
    <w:rsid w:val="4B81009A"/>
    <w:rsid w:val="4BB13D7C"/>
    <w:rsid w:val="4BCA763E"/>
    <w:rsid w:val="4C0E27EA"/>
    <w:rsid w:val="4CB272BC"/>
    <w:rsid w:val="4CE23669"/>
    <w:rsid w:val="4CEE653A"/>
    <w:rsid w:val="4D3168F1"/>
    <w:rsid w:val="4D6273EE"/>
    <w:rsid w:val="4E0A6DE5"/>
    <w:rsid w:val="4E0E1E1D"/>
    <w:rsid w:val="4E892901"/>
    <w:rsid w:val="4ED2389A"/>
    <w:rsid w:val="4ED84D74"/>
    <w:rsid w:val="4EFC30E6"/>
    <w:rsid w:val="4F18132B"/>
    <w:rsid w:val="4F7F7D3E"/>
    <w:rsid w:val="4F9255D1"/>
    <w:rsid w:val="4F9B322D"/>
    <w:rsid w:val="4F9D39CF"/>
    <w:rsid w:val="4FB677D0"/>
    <w:rsid w:val="5014639A"/>
    <w:rsid w:val="50B13258"/>
    <w:rsid w:val="50DA2582"/>
    <w:rsid w:val="50EE65D2"/>
    <w:rsid w:val="50F46031"/>
    <w:rsid w:val="511A5F4C"/>
    <w:rsid w:val="512319B3"/>
    <w:rsid w:val="51936A44"/>
    <w:rsid w:val="51A25787"/>
    <w:rsid w:val="51CF5ACA"/>
    <w:rsid w:val="52781EC3"/>
    <w:rsid w:val="529F6AF7"/>
    <w:rsid w:val="52B71A9E"/>
    <w:rsid w:val="52E02F27"/>
    <w:rsid w:val="530D226F"/>
    <w:rsid w:val="53470A6E"/>
    <w:rsid w:val="536C538B"/>
    <w:rsid w:val="53C24FA1"/>
    <w:rsid w:val="53CF4230"/>
    <w:rsid w:val="53D475D4"/>
    <w:rsid w:val="541D6CC0"/>
    <w:rsid w:val="5443464B"/>
    <w:rsid w:val="54570633"/>
    <w:rsid w:val="54705C46"/>
    <w:rsid w:val="54A560B8"/>
    <w:rsid w:val="54DD308F"/>
    <w:rsid w:val="556C4B0C"/>
    <w:rsid w:val="56790A89"/>
    <w:rsid w:val="567C0EDE"/>
    <w:rsid w:val="56874563"/>
    <w:rsid w:val="569D3217"/>
    <w:rsid w:val="56BA69E6"/>
    <w:rsid w:val="574345D9"/>
    <w:rsid w:val="57741F4B"/>
    <w:rsid w:val="578F4BA3"/>
    <w:rsid w:val="57AE7514"/>
    <w:rsid w:val="57B71ABF"/>
    <w:rsid w:val="57E047C9"/>
    <w:rsid w:val="58676CB9"/>
    <w:rsid w:val="589F2D24"/>
    <w:rsid w:val="58D40387"/>
    <w:rsid w:val="58D654EC"/>
    <w:rsid w:val="58F92360"/>
    <w:rsid w:val="590E7106"/>
    <w:rsid w:val="59167DF8"/>
    <w:rsid w:val="591B5EDB"/>
    <w:rsid w:val="59380FD3"/>
    <w:rsid w:val="597E4EA1"/>
    <w:rsid w:val="59B42C2A"/>
    <w:rsid w:val="59C96626"/>
    <w:rsid w:val="5A586B40"/>
    <w:rsid w:val="5AA93B8D"/>
    <w:rsid w:val="5AB14087"/>
    <w:rsid w:val="5AD261F1"/>
    <w:rsid w:val="5B3234EA"/>
    <w:rsid w:val="5BB55D66"/>
    <w:rsid w:val="5C1E6868"/>
    <w:rsid w:val="5C2214E8"/>
    <w:rsid w:val="5C3558FF"/>
    <w:rsid w:val="5C6806E1"/>
    <w:rsid w:val="5C7266EF"/>
    <w:rsid w:val="5C8B05C2"/>
    <w:rsid w:val="5CC00EBB"/>
    <w:rsid w:val="5CEC747F"/>
    <w:rsid w:val="5D192B61"/>
    <w:rsid w:val="5D3A3A8E"/>
    <w:rsid w:val="5D8B73E8"/>
    <w:rsid w:val="5D980C1C"/>
    <w:rsid w:val="5D995489"/>
    <w:rsid w:val="5DB079E6"/>
    <w:rsid w:val="5DD404E3"/>
    <w:rsid w:val="5DD7391A"/>
    <w:rsid w:val="5DF003F9"/>
    <w:rsid w:val="5E131A5B"/>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60329F"/>
    <w:rsid w:val="617430B6"/>
    <w:rsid w:val="61986BC9"/>
    <w:rsid w:val="619B2A7B"/>
    <w:rsid w:val="61AB599D"/>
    <w:rsid w:val="61E837A2"/>
    <w:rsid w:val="620E4923"/>
    <w:rsid w:val="6237380D"/>
    <w:rsid w:val="6240283F"/>
    <w:rsid w:val="62A05B67"/>
    <w:rsid w:val="62DB5692"/>
    <w:rsid w:val="62ED43B5"/>
    <w:rsid w:val="62F23955"/>
    <w:rsid w:val="62F903B5"/>
    <w:rsid w:val="63C02B07"/>
    <w:rsid w:val="64557D2B"/>
    <w:rsid w:val="64AE2D29"/>
    <w:rsid w:val="65354C04"/>
    <w:rsid w:val="655A788A"/>
    <w:rsid w:val="65E94704"/>
    <w:rsid w:val="66D336B8"/>
    <w:rsid w:val="6709159B"/>
    <w:rsid w:val="671C3839"/>
    <w:rsid w:val="672C1EBA"/>
    <w:rsid w:val="673A6B86"/>
    <w:rsid w:val="674E77BF"/>
    <w:rsid w:val="677055CA"/>
    <w:rsid w:val="678E0367"/>
    <w:rsid w:val="679369A3"/>
    <w:rsid w:val="679961AA"/>
    <w:rsid w:val="67B760D2"/>
    <w:rsid w:val="682929B5"/>
    <w:rsid w:val="682F6EAD"/>
    <w:rsid w:val="68515C67"/>
    <w:rsid w:val="68BE3EA3"/>
    <w:rsid w:val="69180420"/>
    <w:rsid w:val="69347E1B"/>
    <w:rsid w:val="694E5040"/>
    <w:rsid w:val="695A3D2D"/>
    <w:rsid w:val="695A6918"/>
    <w:rsid w:val="697D2AD1"/>
    <w:rsid w:val="6A385A84"/>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8E2BC7"/>
    <w:rsid w:val="6DF878E4"/>
    <w:rsid w:val="6E630391"/>
    <w:rsid w:val="6F922E55"/>
    <w:rsid w:val="6FAF49F7"/>
    <w:rsid w:val="707441BB"/>
    <w:rsid w:val="708414F7"/>
    <w:rsid w:val="708C1B31"/>
    <w:rsid w:val="708D0E66"/>
    <w:rsid w:val="70BA393E"/>
    <w:rsid w:val="70CC4BC0"/>
    <w:rsid w:val="70E4330E"/>
    <w:rsid w:val="70F33D7B"/>
    <w:rsid w:val="717F7444"/>
    <w:rsid w:val="71CC1C7C"/>
    <w:rsid w:val="71D1537A"/>
    <w:rsid w:val="71E120AB"/>
    <w:rsid w:val="71EB712A"/>
    <w:rsid w:val="72C27FA6"/>
    <w:rsid w:val="72CD1E30"/>
    <w:rsid w:val="72F27CCF"/>
    <w:rsid w:val="73032DB9"/>
    <w:rsid w:val="732037C2"/>
    <w:rsid w:val="74297C7C"/>
    <w:rsid w:val="74385DE5"/>
    <w:rsid w:val="749E60DE"/>
    <w:rsid w:val="74B41D21"/>
    <w:rsid w:val="74B75639"/>
    <w:rsid w:val="759C7166"/>
    <w:rsid w:val="75A9470E"/>
    <w:rsid w:val="75C857C9"/>
    <w:rsid w:val="760A6D2F"/>
    <w:rsid w:val="762429DE"/>
    <w:rsid w:val="76B03EE3"/>
    <w:rsid w:val="76C36E32"/>
    <w:rsid w:val="7710508A"/>
    <w:rsid w:val="77C11B4C"/>
    <w:rsid w:val="77E97F30"/>
    <w:rsid w:val="78AE5CDB"/>
    <w:rsid w:val="79C01ACA"/>
    <w:rsid w:val="79CF2250"/>
    <w:rsid w:val="79ED0498"/>
    <w:rsid w:val="7A926977"/>
    <w:rsid w:val="7AF53B5D"/>
    <w:rsid w:val="7AFA7350"/>
    <w:rsid w:val="7B12020A"/>
    <w:rsid w:val="7B1B76BB"/>
    <w:rsid w:val="7BAA2E76"/>
    <w:rsid w:val="7BFB6F70"/>
    <w:rsid w:val="7C124499"/>
    <w:rsid w:val="7C9129FF"/>
    <w:rsid w:val="7CE71E7A"/>
    <w:rsid w:val="7D764148"/>
    <w:rsid w:val="7DDB1222"/>
    <w:rsid w:val="7E1B5A41"/>
    <w:rsid w:val="7E4E2AA2"/>
    <w:rsid w:val="7E572472"/>
    <w:rsid w:val="7E6E0573"/>
    <w:rsid w:val="7E7734EE"/>
    <w:rsid w:val="7E9A6542"/>
    <w:rsid w:val="7EAA5C42"/>
    <w:rsid w:val="7ED31908"/>
    <w:rsid w:val="7EE11E36"/>
    <w:rsid w:val="7F152581"/>
    <w:rsid w:val="7F2E6E32"/>
    <w:rsid w:val="7F3523C7"/>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2"/>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2"/>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3"/>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9">
    <w:name w:val="Body Text First Indent"/>
    <w:basedOn w:val="10"/>
    <w:qFormat/>
    <w:uiPriority w:val="0"/>
    <w:pPr>
      <w:spacing w:after="120" w:line="240" w:lineRule="auto"/>
      <w:ind w:firstLine="420" w:firstLineChars="100"/>
      <w:jc w:val="both"/>
    </w:pPr>
    <w:rPr>
      <w:b w:val="0"/>
      <w:bCs w:val="0"/>
      <w:sz w:val="21"/>
    </w:rPr>
  </w:style>
  <w:style w:type="paragraph" w:styleId="10">
    <w:name w:val="Body Text"/>
    <w:basedOn w:val="1"/>
    <w:next w:val="11"/>
    <w:qFormat/>
    <w:uiPriority w:val="0"/>
    <w:pPr>
      <w:spacing w:line="300" w:lineRule="auto"/>
      <w:jc w:val="center"/>
    </w:pPr>
    <w:rPr>
      <w:b/>
      <w:bCs/>
      <w:sz w:val="44"/>
    </w:r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link w:val="73"/>
    <w:qFormat/>
    <w:uiPriority w:val="0"/>
    <w:pPr>
      <w:jc w:val="left"/>
    </w:pPr>
  </w:style>
  <w:style w:type="paragraph" w:styleId="15">
    <w:name w:val="Body Text Indent"/>
    <w:basedOn w:val="1"/>
    <w:qFormat/>
    <w:uiPriority w:val="0"/>
    <w:pPr>
      <w:spacing w:line="300" w:lineRule="auto"/>
      <w:ind w:firstLine="480" w:firstLineChars="200"/>
    </w:pPr>
    <w:rPr>
      <w:rFonts w:ascii="仿宋_GB2312" w:eastAsia="仿宋_GB2312"/>
      <w:sz w:val="24"/>
      <w:szCs w:val="21"/>
    </w:rPr>
  </w:style>
  <w:style w:type="paragraph" w:styleId="16">
    <w:name w:val="toc 3"/>
    <w:basedOn w:val="1"/>
    <w:next w:val="1"/>
    <w:semiHidden/>
    <w:qFormat/>
    <w:uiPriority w:val="0"/>
    <w:pPr>
      <w:ind w:left="840" w:leftChars="400"/>
    </w:pPr>
  </w:style>
  <w:style w:type="paragraph" w:styleId="17">
    <w:name w:val="Plain Text"/>
    <w:basedOn w:val="1"/>
    <w:link w:val="74"/>
    <w:qFormat/>
    <w:uiPriority w:val="0"/>
    <w:rPr>
      <w:rFonts w:ascii="宋体" w:hAnsi="Courier New"/>
      <w:szCs w:val="20"/>
    </w:rPr>
  </w:style>
  <w:style w:type="paragraph" w:styleId="18">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65"/>
    <w:semiHidden/>
    <w:qFormat/>
    <w:uiPriority w:val="99"/>
    <w:rPr>
      <w:sz w:val="18"/>
      <w:szCs w:val="18"/>
    </w:rPr>
  </w:style>
  <w:style w:type="paragraph" w:styleId="21">
    <w:name w:val="footer"/>
    <w:basedOn w:val="1"/>
    <w:link w:val="69"/>
    <w:qFormat/>
    <w:uiPriority w:val="99"/>
    <w:pPr>
      <w:widowControl/>
      <w:tabs>
        <w:tab w:val="center" w:pos="4153"/>
        <w:tab w:val="right" w:pos="8306"/>
      </w:tabs>
      <w:snapToGrid w:val="0"/>
      <w:jc w:val="left"/>
    </w:pPr>
    <w:rPr>
      <w:rFonts w:ascii="宋体" w:hAnsi="宋体"/>
      <w:kern w:val="0"/>
      <w:sz w:val="18"/>
      <w:szCs w:val="18"/>
    </w:rPr>
  </w:style>
  <w:style w:type="paragraph" w:styleId="22">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Body Text 2"/>
    <w:basedOn w:val="1"/>
    <w:link w:val="67"/>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正文部分1"/>
    <w:basedOn w:val="1"/>
    <w:qFormat/>
    <w:uiPriority w:val="99"/>
    <w:pPr>
      <w:ind w:firstLine="200" w:firstLineChars="200"/>
    </w:pPr>
    <w:rPr>
      <w:rFonts w:ascii="宋体" w:hAnsi="宋体"/>
      <w:color w:val="000000"/>
      <w:sz w:val="24"/>
    </w:rPr>
  </w:style>
  <w:style w:type="paragraph" w:customStyle="1" w:styleId="36">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37">
    <w:name w:val="样式1"/>
    <w:basedOn w:val="1"/>
    <w:qFormat/>
    <w:uiPriority w:val="0"/>
    <w:rPr>
      <w:rFonts w:ascii="Arial" w:hAnsi="Arial" w:eastAsia="楷体_GB2312" w:cs="Times New Roman"/>
      <w:snapToGrid w:val="0"/>
      <w:kern w:val="28"/>
      <w:sz w:val="22"/>
      <w:szCs w:val="20"/>
    </w:rPr>
  </w:style>
  <w:style w:type="paragraph" w:customStyle="1" w:styleId="38">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39">
    <w:name w:val="_Style 38"/>
    <w:basedOn w:val="1"/>
    <w:next w:val="1"/>
    <w:qFormat/>
    <w:uiPriority w:val="0"/>
    <w:pPr>
      <w:pBdr>
        <w:top w:val="single" w:color="auto" w:sz="6" w:space="1"/>
      </w:pBdr>
      <w:jc w:val="center"/>
    </w:pPr>
    <w:rPr>
      <w:rFonts w:ascii="Arial" w:eastAsia="宋体"/>
      <w:vanish/>
      <w:sz w:val="16"/>
    </w:rPr>
  </w:style>
  <w:style w:type="paragraph" w:customStyle="1" w:styleId="40">
    <w:name w:val="Char Char Char Char Char Char Char1 Char"/>
    <w:basedOn w:val="1"/>
    <w:qFormat/>
    <w:uiPriority w:val="0"/>
    <w:rPr>
      <w:rFonts w:ascii="Tahoma" w:hAnsi="Tahoma"/>
      <w:sz w:val="24"/>
      <w:szCs w:val="20"/>
    </w:rPr>
  </w:style>
  <w:style w:type="paragraph" w:customStyle="1" w:styleId="41">
    <w:name w:val="Normal_0"/>
    <w:qFormat/>
    <w:uiPriority w:val="0"/>
    <w:rPr>
      <w:rFonts w:ascii="Times New Roman" w:hAnsi="Times New Roman" w:eastAsia="Times New Roman" w:cs="Times New Roman"/>
      <w:sz w:val="24"/>
      <w:szCs w:val="24"/>
      <w:lang w:bidi="ar-SA"/>
    </w:rPr>
  </w:style>
  <w:style w:type="paragraph" w:customStyle="1" w:styleId="42">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5">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6">
    <w:name w:val="默认段落字体 Para Char Char Char Char Char Char Char Char Char1 Char Char Char Char Char Char Char Char"/>
    <w:basedOn w:val="13"/>
    <w:qFormat/>
    <w:uiPriority w:val="0"/>
  </w:style>
  <w:style w:type="paragraph" w:customStyle="1" w:styleId="47">
    <w:name w:val="_Style 46"/>
    <w:basedOn w:val="1"/>
    <w:next w:val="1"/>
    <w:qFormat/>
    <w:uiPriority w:val="0"/>
    <w:pPr>
      <w:pBdr>
        <w:bottom w:val="single" w:color="auto" w:sz="6" w:space="1"/>
      </w:pBdr>
      <w:jc w:val="center"/>
    </w:pPr>
    <w:rPr>
      <w:rFonts w:ascii="Arial" w:eastAsia="宋体"/>
      <w:vanish/>
      <w:sz w:val="16"/>
    </w:rPr>
  </w:style>
  <w:style w:type="paragraph" w:customStyle="1" w:styleId="48">
    <w:name w:val="样式2"/>
    <w:basedOn w:val="1"/>
    <w:link w:val="68"/>
    <w:qFormat/>
    <w:uiPriority w:val="0"/>
    <w:pPr>
      <w:spacing w:line="600" w:lineRule="exact"/>
    </w:pPr>
    <w:rPr>
      <w:rFonts w:ascii="仿宋_GB2312" w:hAnsi="宋体" w:eastAsia="仿宋_GB2312"/>
      <w:b/>
      <w:sz w:val="32"/>
      <w:szCs w:val="32"/>
    </w:rPr>
  </w:style>
  <w:style w:type="paragraph" w:customStyle="1" w:styleId="49">
    <w:name w:val=" Char Char Char"/>
    <w:basedOn w:val="1"/>
    <w:qFormat/>
    <w:uiPriority w:val="0"/>
    <w:rPr>
      <w:rFonts w:ascii="Tahoma" w:hAnsi="Tahoma"/>
      <w:sz w:val="24"/>
      <w:szCs w:val="20"/>
    </w:rPr>
  </w:style>
  <w:style w:type="paragraph" w:customStyle="1" w:styleId="50">
    <w:name w:val="Char Char Char Char Char Char Char1 Char Char Char Char Char Char Char"/>
    <w:basedOn w:val="1"/>
    <w:qFormat/>
    <w:uiPriority w:val="0"/>
    <w:rPr>
      <w:rFonts w:ascii="Tahoma" w:hAnsi="Tahoma"/>
      <w:sz w:val="24"/>
      <w:szCs w:val="20"/>
    </w:rPr>
  </w:style>
  <w:style w:type="paragraph" w:customStyle="1" w:styleId="51">
    <w:name w:val="环小四内容"/>
    <w:basedOn w:val="1"/>
    <w:qFormat/>
    <w:uiPriority w:val="99"/>
    <w:pPr>
      <w:ind w:firstLine="200" w:firstLineChars="200"/>
    </w:pPr>
    <w:rPr>
      <w:rFonts w:hAnsi="宋体"/>
    </w:rPr>
  </w:style>
  <w:style w:type="paragraph" w:customStyle="1" w:styleId="5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 Char"/>
    <w:basedOn w:val="1"/>
    <w:qFormat/>
    <w:uiPriority w:val="0"/>
    <w:rPr>
      <w:rFonts w:ascii="Tahoma" w:hAnsi="Tahoma"/>
      <w:sz w:val="24"/>
      <w:szCs w:val="20"/>
    </w:rPr>
  </w:style>
  <w:style w:type="paragraph" w:customStyle="1" w:styleId="54">
    <w:name w:val="absatz1"/>
    <w:basedOn w:val="1"/>
    <w:qFormat/>
    <w:uiPriority w:val="0"/>
    <w:pPr>
      <w:widowControl/>
      <w:tabs>
        <w:tab w:val="left" w:pos="709"/>
      </w:tabs>
      <w:ind w:left="709" w:hanging="709"/>
    </w:pPr>
    <w:rPr>
      <w:kern w:val="0"/>
      <w:sz w:val="24"/>
      <w:szCs w:val="20"/>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环小四1.1(三级)"/>
    <w:basedOn w:val="45"/>
    <w:qFormat/>
    <w:uiPriority w:val="99"/>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paragraph" w:customStyle="1" w:styleId="59">
    <w:name w:val="环小四表内容"/>
    <w:basedOn w:val="1"/>
    <w:qFormat/>
    <w:uiPriority w:val="99"/>
    <w:pPr>
      <w:wordWrap w:val="0"/>
      <w:spacing w:line="240" w:lineRule="exact"/>
      <w:jc w:val="center"/>
    </w:pPr>
    <w:rPr>
      <w:rFonts w:hAnsi="宋体"/>
      <w:sz w:val="18"/>
      <w:szCs w:val="21"/>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2">
    <w:name w:val="标题 5 Char"/>
    <w:link w:val="7"/>
    <w:qFormat/>
    <w:uiPriority w:val="9"/>
    <w:rPr>
      <w:rFonts w:ascii="宋体" w:hAnsi="宋体" w:cs="宋体"/>
      <w:b/>
      <w:bCs/>
    </w:rPr>
  </w:style>
  <w:style w:type="character" w:customStyle="1" w:styleId="63">
    <w:name w:val="标题 6 Char"/>
    <w:link w:val="8"/>
    <w:qFormat/>
    <w:uiPriority w:val="9"/>
    <w:rPr>
      <w:rFonts w:ascii="宋体" w:hAnsi="宋体" w:cs="宋体"/>
      <w:b/>
      <w:bCs/>
      <w:sz w:val="15"/>
      <w:szCs w:val="15"/>
    </w:rPr>
  </w:style>
  <w:style w:type="character" w:customStyle="1" w:styleId="64">
    <w:name w:val="标题 1 Char"/>
    <w:link w:val="3"/>
    <w:qFormat/>
    <w:uiPriority w:val="9"/>
    <w:rPr>
      <w:b/>
      <w:bCs/>
      <w:kern w:val="44"/>
      <w:sz w:val="44"/>
      <w:szCs w:val="44"/>
    </w:rPr>
  </w:style>
  <w:style w:type="character" w:customStyle="1" w:styleId="65">
    <w:name w:val="批注框文本 Char"/>
    <w:link w:val="20"/>
    <w:semiHidden/>
    <w:qFormat/>
    <w:uiPriority w:val="99"/>
    <w:rPr>
      <w:kern w:val="2"/>
      <w:sz w:val="18"/>
      <w:szCs w:val="18"/>
    </w:rPr>
  </w:style>
  <w:style w:type="character" w:customStyle="1" w:styleId="66">
    <w:name w:val="页眉 Char"/>
    <w:link w:val="22"/>
    <w:qFormat/>
    <w:uiPriority w:val="0"/>
    <w:rPr>
      <w:rFonts w:eastAsia="宋体"/>
      <w:kern w:val="2"/>
      <w:sz w:val="18"/>
      <w:szCs w:val="18"/>
      <w:lang w:val="en-US" w:eastAsia="zh-CN" w:bidi="ar-SA"/>
    </w:rPr>
  </w:style>
  <w:style w:type="character" w:customStyle="1" w:styleId="67">
    <w:name w:val="正文文本 2 Char"/>
    <w:link w:val="25"/>
    <w:qFormat/>
    <w:locked/>
    <w:uiPriority w:val="99"/>
    <w:rPr>
      <w:rFonts w:ascii="宋体" w:hAnsi="宋体"/>
      <w:kern w:val="0"/>
      <w:sz w:val="20"/>
      <w:szCs w:val="21"/>
    </w:rPr>
  </w:style>
  <w:style w:type="character" w:customStyle="1" w:styleId="68">
    <w:name w:val="样式2 Char Char"/>
    <w:link w:val="48"/>
    <w:qFormat/>
    <w:uiPriority w:val="0"/>
    <w:rPr>
      <w:rFonts w:ascii="仿宋_GB2312" w:hAnsi="宋体" w:eastAsia="仿宋_GB2312"/>
      <w:b/>
      <w:kern w:val="2"/>
      <w:sz w:val="32"/>
      <w:szCs w:val="32"/>
      <w:lang w:val="en-US" w:eastAsia="zh-CN" w:bidi="ar-SA"/>
    </w:rPr>
  </w:style>
  <w:style w:type="character" w:customStyle="1" w:styleId="69">
    <w:name w:val="页脚 Char"/>
    <w:link w:val="21"/>
    <w:qFormat/>
    <w:uiPriority w:val="99"/>
    <w:rPr>
      <w:rFonts w:ascii="宋体" w:hAnsi="宋体"/>
      <w:sz w:val="18"/>
      <w:szCs w:val="18"/>
    </w:rPr>
  </w:style>
  <w:style w:type="character" w:customStyle="1" w:styleId="70">
    <w:name w:val="标题 4 Char"/>
    <w:link w:val="6"/>
    <w:qFormat/>
    <w:uiPriority w:val="9"/>
    <w:rPr>
      <w:rFonts w:ascii="宋体" w:hAnsi="宋体" w:cs="宋体"/>
      <w:b/>
      <w:bCs/>
      <w:sz w:val="24"/>
      <w:szCs w:val="24"/>
    </w:rPr>
  </w:style>
  <w:style w:type="character" w:customStyle="1" w:styleId="71">
    <w:name w:val="标题 2 Char"/>
    <w:link w:val="4"/>
    <w:qFormat/>
    <w:uiPriority w:val="9"/>
    <w:rPr>
      <w:rFonts w:ascii="Arial" w:hAnsi="Arial" w:eastAsia="黑体"/>
      <w:b/>
      <w:bCs/>
      <w:kern w:val="2"/>
      <w:sz w:val="32"/>
      <w:szCs w:val="32"/>
      <w:lang w:val="en-US" w:eastAsia="zh-CN" w:bidi="ar-SA"/>
    </w:rPr>
  </w:style>
  <w:style w:type="character" w:customStyle="1" w:styleId="72">
    <w:name w:val="标题 3 Char"/>
    <w:link w:val="5"/>
    <w:qFormat/>
    <w:uiPriority w:val="0"/>
    <w:rPr>
      <w:b/>
      <w:bCs/>
      <w:kern w:val="2"/>
      <w:sz w:val="32"/>
      <w:szCs w:val="32"/>
    </w:rPr>
  </w:style>
  <w:style w:type="character" w:customStyle="1" w:styleId="73">
    <w:name w:val="批注文字 Char"/>
    <w:link w:val="14"/>
    <w:qFormat/>
    <w:locked/>
    <w:uiPriority w:val="0"/>
    <w:rPr>
      <w:kern w:val="2"/>
      <w:sz w:val="21"/>
      <w:szCs w:val="24"/>
    </w:rPr>
  </w:style>
  <w:style w:type="character" w:customStyle="1" w:styleId="74">
    <w:name w:val="纯文本 Char"/>
    <w:link w:val="17"/>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41</Pages>
  <Words>4177</Words>
  <Characters>23815</Characters>
  <Lines>198</Lines>
  <Paragraphs>55</Paragraphs>
  <TotalTime>3</TotalTime>
  <ScaleCrop>false</ScaleCrop>
  <LinksUpToDate>false</LinksUpToDate>
  <CharactersWithSpaces>27937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2025-07-11T07:39:17Z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2002CBBE909D498D8CB2750FF8A1A5BC_13</vt:lpwstr>
  </property>
</Properties>
</file>